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C8A" w:rsidRPr="0084026F" w:rsidRDefault="0042057C" w:rsidP="00B07C8A">
      <w:pPr>
        <w:spacing w:line="240" w:lineRule="auto"/>
        <w:jc w:val="center"/>
        <w:rPr>
          <w:b/>
        </w:rPr>
      </w:pPr>
      <w:r>
        <w:rPr>
          <w:b/>
        </w:rPr>
        <w:t>R</w:t>
      </w:r>
      <w:r w:rsidR="00B07C8A" w:rsidRPr="0084026F">
        <w:rPr>
          <w:b/>
        </w:rPr>
        <w:t>entabilidade da produção da cana-de-açúcar</w:t>
      </w:r>
      <w:r w:rsidR="004E57CD" w:rsidRPr="0084026F">
        <w:rPr>
          <w:b/>
        </w:rPr>
        <w:t xml:space="preserve"> </w:t>
      </w:r>
      <w:r w:rsidR="00B07C8A" w:rsidRPr="0084026F">
        <w:rPr>
          <w:b/>
        </w:rPr>
        <w:t>em sistema de arrendamento e fornecimento</w:t>
      </w:r>
      <w:r w:rsidR="004E57CD" w:rsidRPr="0084026F">
        <w:rPr>
          <w:b/>
        </w:rPr>
        <w:t xml:space="preserve"> em</w:t>
      </w:r>
      <w:r w:rsidR="000A62AD" w:rsidRPr="0084026F">
        <w:rPr>
          <w:b/>
        </w:rPr>
        <w:t xml:space="preserve"> Chavantes/SP</w:t>
      </w:r>
    </w:p>
    <w:p w:rsidR="000B087E" w:rsidRPr="00BF411F" w:rsidRDefault="0042057C" w:rsidP="000B087E">
      <w:pPr>
        <w:spacing w:line="240" w:lineRule="auto"/>
        <w:jc w:val="center"/>
        <w:rPr>
          <w:sz w:val="20"/>
          <w:lang w:val="en-US"/>
        </w:rPr>
      </w:pPr>
      <w:r w:rsidRPr="00BF411F">
        <w:rPr>
          <w:sz w:val="20"/>
          <w:lang w:val="en-US"/>
        </w:rPr>
        <w:t>Profitability</w:t>
      </w:r>
      <w:r w:rsidR="000B087E" w:rsidRPr="00BF411F">
        <w:rPr>
          <w:sz w:val="20"/>
          <w:lang w:val="en-US"/>
        </w:rPr>
        <w:t xml:space="preserve"> of sugarcane production in the lease and supply systems in Chavantes/SP</w:t>
      </w:r>
    </w:p>
    <w:p w:rsidR="00BF411F" w:rsidRPr="00882B6F" w:rsidRDefault="00BF411F" w:rsidP="00BF411F">
      <w:pPr>
        <w:spacing w:line="240" w:lineRule="auto"/>
        <w:ind w:firstLine="709"/>
        <w:jc w:val="center"/>
        <w:rPr>
          <w:lang w:val="en-US"/>
        </w:rPr>
      </w:pPr>
    </w:p>
    <w:p w:rsidR="00BF411F" w:rsidRDefault="00BF411F" w:rsidP="00BF411F">
      <w:pPr>
        <w:spacing w:line="240" w:lineRule="auto"/>
        <w:ind w:firstLine="709"/>
        <w:jc w:val="center"/>
      </w:pPr>
      <w:r>
        <w:t>Aline Magalhães Galindo</w:t>
      </w:r>
      <w:r w:rsidR="000368A3">
        <w:rPr>
          <w:rStyle w:val="Refdenotaderodap"/>
        </w:rPr>
        <w:footnoteReference w:id="1"/>
      </w:r>
      <w:r>
        <w:t>*</w:t>
      </w:r>
      <w:r w:rsidRPr="001D2010">
        <w:t xml:space="preserve">; </w:t>
      </w:r>
      <w:r>
        <w:t>Marcia Eugenia Amaral Carvalho</w:t>
      </w:r>
      <w:r w:rsidRPr="001D2010">
        <w:t>²</w:t>
      </w:r>
    </w:p>
    <w:p w:rsidR="00BF411F" w:rsidRDefault="00BF411F" w:rsidP="00BF411F">
      <w:pPr>
        <w:spacing w:line="240" w:lineRule="auto"/>
        <w:ind w:firstLine="709"/>
        <w:jc w:val="center"/>
      </w:pPr>
    </w:p>
    <w:p w:rsidR="00BF411F" w:rsidRPr="006360F2" w:rsidRDefault="00BF411F" w:rsidP="00BF411F">
      <w:pPr>
        <w:spacing w:line="240" w:lineRule="auto"/>
        <w:jc w:val="left"/>
        <w:rPr>
          <w:sz w:val="18"/>
          <w:szCs w:val="18"/>
        </w:rPr>
      </w:pPr>
      <w:r w:rsidRPr="006360F2">
        <w:rPr>
          <w:sz w:val="18"/>
          <w:szCs w:val="18"/>
          <w:vertAlign w:val="superscript"/>
        </w:rPr>
        <w:t>1</w:t>
      </w:r>
      <w:r>
        <w:rPr>
          <w:sz w:val="18"/>
          <w:szCs w:val="18"/>
        </w:rPr>
        <w:t xml:space="preserve"> </w:t>
      </w:r>
      <w:r w:rsidRPr="006360F2">
        <w:rPr>
          <w:sz w:val="18"/>
          <w:szCs w:val="18"/>
        </w:rPr>
        <w:t>Tecnólog</w:t>
      </w:r>
      <w:r>
        <w:rPr>
          <w:sz w:val="18"/>
          <w:szCs w:val="18"/>
        </w:rPr>
        <w:t>a</w:t>
      </w:r>
      <w:r w:rsidRPr="006360F2">
        <w:rPr>
          <w:sz w:val="18"/>
          <w:szCs w:val="18"/>
        </w:rPr>
        <w:t xml:space="preserve"> em Projetos de Sistema da Informação</w:t>
      </w:r>
      <w:r>
        <w:rPr>
          <w:sz w:val="18"/>
          <w:szCs w:val="18"/>
        </w:rPr>
        <w:t xml:space="preserve">, </w:t>
      </w:r>
      <w:r w:rsidRPr="006360F2">
        <w:rPr>
          <w:sz w:val="18"/>
          <w:szCs w:val="18"/>
        </w:rPr>
        <w:t xml:space="preserve">Associação Rural de Fornecedores e Plantadores de Cana </w:t>
      </w:r>
      <w:r>
        <w:rPr>
          <w:sz w:val="18"/>
          <w:szCs w:val="18"/>
        </w:rPr>
        <w:t xml:space="preserve">- CANAUSSU </w:t>
      </w:r>
      <w:r w:rsidRPr="006360F2">
        <w:rPr>
          <w:sz w:val="18"/>
          <w:szCs w:val="18"/>
        </w:rPr>
        <w:t>–– Rua Cel</w:t>
      </w:r>
      <w:r>
        <w:rPr>
          <w:sz w:val="18"/>
          <w:szCs w:val="18"/>
        </w:rPr>
        <w:t>.</w:t>
      </w:r>
      <w:r w:rsidRPr="006360F2">
        <w:rPr>
          <w:sz w:val="18"/>
          <w:szCs w:val="18"/>
        </w:rPr>
        <w:t xml:space="preserve"> Azarias Bueno, 425, Centro, CEP 18970-000, Chavantes (São Paulo), Brasil.</w:t>
      </w:r>
    </w:p>
    <w:p w:rsidR="00BF411F" w:rsidRPr="006360F2" w:rsidRDefault="00BF411F" w:rsidP="00BF411F">
      <w:pPr>
        <w:spacing w:line="240" w:lineRule="auto"/>
        <w:jc w:val="left"/>
        <w:rPr>
          <w:sz w:val="18"/>
          <w:szCs w:val="18"/>
        </w:rPr>
      </w:pPr>
      <w:proofErr w:type="gramStart"/>
      <w:r>
        <w:rPr>
          <w:sz w:val="18"/>
          <w:szCs w:val="18"/>
          <w:vertAlign w:val="superscript"/>
        </w:rPr>
        <w:t xml:space="preserve">2 </w:t>
      </w:r>
      <w:r>
        <w:rPr>
          <w:sz w:val="18"/>
          <w:szCs w:val="18"/>
        </w:rPr>
        <w:t>Doutoranda</w:t>
      </w:r>
      <w:proofErr w:type="gramEnd"/>
      <w:r>
        <w:rPr>
          <w:sz w:val="18"/>
          <w:szCs w:val="18"/>
        </w:rPr>
        <w:t xml:space="preserve"> em Genética e Melhoramento de Plantas, E</w:t>
      </w:r>
      <w:r w:rsidRPr="006360F2">
        <w:rPr>
          <w:sz w:val="18"/>
          <w:szCs w:val="18"/>
        </w:rPr>
        <w:t>scola Superior de Agricultura “Luiz de Queiroz” / Universidade de São Paulo –– Avenida Pádua Dias, 11, São Judas, CEP 13418-900, Piracicaba (São Paulo), Brasil.</w:t>
      </w:r>
    </w:p>
    <w:p w:rsidR="00BF411F" w:rsidRDefault="00BF411F" w:rsidP="00BF411F">
      <w:pPr>
        <w:spacing w:line="240" w:lineRule="auto"/>
        <w:ind w:left="720"/>
      </w:pPr>
    </w:p>
    <w:p w:rsidR="00B07C8A" w:rsidRPr="00F44510" w:rsidRDefault="00B07C8A" w:rsidP="00B07C8A">
      <w:pPr>
        <w:spacing w:line="240" w:lineRule="auto"/>
        <w:jc w:val="left"/>
        <w:rPr>
          <w:b/>
          <w:color w:val="000000" w:themeColor="text1"/>
          <w:sz w:val="20"/>
        </w:rPr>
      </w:pPr>
      <w:r w:rsidRPr="00F44510">
        <w:rPr>
          <w:b/>
          <w:color w:val="000000" w:themeColor="text1"/>
          <w:sz w:val="20"/>
        </w:rPr>
        <w:t>Resumo</w:t>
      </w:r>
    </w:p>
    <w:p w:rsidR="00B07C8A" w:rsidRPr="00F44510" w:rsidRDefault="00B07C8A" w:rsidP="00AC004F">
      <w:pPr>
        <w:spacing w:line="240" w:lineRule="auto"/>
        <w:ind w:firstLine="708"/>
        <w:rPr>
          <w:color w:val="000000" w:themeColor="text1"/>
          <w:sz w:val="20"/>
        </w:rPr>
      </w:pPr>
      <w:r w:rsidRPr="00F44510">
        <w:rPr>
          <w:color w:val="000000" w:themeColor="text1"/>
          <w:sz w:val="20"/>
        </w:rPr>
        <w:t xml:space="preserve">O presente estudo </w:t>
      </w:r>
      <w:r w:rsidR="00A232C4">
        <w:rPr>
          <w:color w:val="000000" w:themeColor="text1"/>
          <w:sz w:val="20"/>
        </w:rPr>
        <w:t xml:space="preserve">teve como </w:t>
      </w:r>
      <w:r w:rsidRPr="00F44510">
        <w:rPr>
          <w:color w:val="000000" w:themeColor="text1"/>
          <w:sz w:val="20"/>
        </w:rPr>
        <w:t xml:space="preserve">objetivo comparar a rentabilidade da produção de cana-de-açúcar através dos </w:t>
      </w:r>
      <w:r w:rsidRPr="00F44510">
        <w:rPr>
          <w:sz w:val="20"/>
        </w:rPr>
        <w:t xml:space="preserve">sistemas de arrendamento e fornecimento próprio, visando auxiliar </w:t>
      </w:r>
      <w:r w:rsidR="00175152" w:rsidRPr="00F44510">
        <w:rPr>
          <w:sz w:val="20"/>
        </w:rPr>
        <w:t xml:space="preserve">o </w:t>
      </w:r>
      <w:r w:rsidR="009C1A98" w:rsidRPr="00F44510">
        <w:rPr>
          <w:sz w:val="20"/>
        </w:rPr>
        <w:t>proprietário</w:t>
      </w:r>
      <w:r w:rsidRPr="00F44510">
        <w:rPr>
          <w:sz w:val="20"/>
        </w:rPr>
        <w:t xml:space="preserve"> </w:t>
      </w:r>
      <w:r w:rsidR="00F20C9A" w:rsidRPr="00F44510">
        <w:rPr>
          <w:sz w:val="20"/>
        </w:rPr>
        <w:t xml:space="preserve">da terra </w:t>
      </w:r>
      <w:r w:rsidR="00175152" w:rsidRPr="00F44510">
        <w:rPr>
          <w:sz w:val="20"/>
        </w:rPr>
        <w:t xml:space="preserve">na tomada de decisão </w:t>
      </w:r>
      <w:r w:rsidRPr="00F44510">
        <w:rPr>
          <w:sz w:val="20"/>
        </w:rPr>
        <w:t xml:space="preserve">quanto a alternativa mais viável diante da atual situação de mercado. O sistema de fornecimento foi divido em duas modalidades: "cana </w:t>
      </w:r>
      <w:r w:rsidRPr="00B5462E">
        <w:rPr>
          <w:sz w:val="20"/>
        </w:rPr>
        <w:t>spot</w:t>
      </w:r>
      <w:r w:rsidRPr="00F44510">
        <w:rPr>
          <w:sz w:val="20"/>
        </w:rPr>
        <w:t xml:space="preserve">" e "cana esteira". Para a análise financeira, foram utilizados dados </w:t>
      </w:r>
      <w:r w:rsidR="00F20C9A" w:rsidRPr="00F44510">
        <w:rPr>
          <w:sz w:val="20"/>
        </w:rPr>
        <w:t xml:space="preserve">da safra de 2014/2015 </w:t>
      </w:r>
      <w:r w:rsidRPr="00F44510">
        <w:rPr>
          <w:sz w:val="20"/>
        </w:rPr>
        <w:t>de fornecedores filiados à uma associação, localizada em Chavantes, região centro-oeste de São Paulo. Em seguida</w:t>
      </w:r>
      <w:r w:rsidR="00315BC5">
        <w:rPr>
          <w:sz w:val="20"/>
        </w:rPr>
        <w:t>,</w:t>
      </w:r>
      <w:r w:rsidRPr="00F44510">
        <w:rPr>
          <w:sz w:val="20"/>
        </w:rPr>
        <w:t xml:space="preserve"> foram projetados fluxos de caixa para cada sistema de produção; calculados o valor presente líquido </w:t>
      </w:r>
      <w:r w:rsidR="0042057C" w:rsidRPr="00F44510">
        <w:rPr>
          <w:sz w:val="20"/>
        </w:rPr>
        <w:t>[</w:t>
      </w:r>
      <w:r w:rsidRPr="00F44510">
        <w:rPr>
          <w:sz w:val="20"/>
        </w:rPr>
        <w:t>VPL</w:t>
      </w:r>
      <w:r w:rsidR="0042057C" w:rsidRPr="00F44510">
        <w:rPr>
          <w:sz w:val="20"/>
        </w:rPr>
        <w:t>]</w:t>
      </w:r>
      <w:r w:rsidRPr="00F44510">
        <w:rPr>
          <w:sz w:val="20"/>
        </w:rPr>
        <w:t xml:space="preserve">, a taxa interna de retorno </w:t>
      </w:r>
      <w:r w:rsidR="0042057C" w:rsidRPr="00F44510">
        <w:rPr>
          <w:sz w:val="20"/>
        </w:rPr>
        <w:t>[TIR]</w:t>
      </w:r>
      <w:r w:rsidRPr="00F44510">
        <w:rPr>
          <w:sz w:val="20"/>
        </w:rPr>
        <w:t xml:space="preserve">, o </w:t>
      </w:r>
      <w:proofErr w:type="spellStart"/>
      <w:r w:rsidRPr="00F44510">
        <w:rPr>
          <w:sz w:val="20"/>
        </w:rPr>
        <w:t>payback</w:t>
      </w:r>
      <w:proofErr w:type="spellEnd"/>
      <w:r w:rsidRPr="00F44510">
        <w:rPr>
          <w:sz w:val="20"/>
        </w:rPr>
        <w:t xml:space="preserve"> simples e realizada a análise de sensibilidade. Os cálculos indicaram a inviabilidade da produção de cana-de-açúcar em todos os casos, pois apresentaram VPL negativo e TIR inferior à taxa mínima de atratividade </w:t>
      </w:r>
      <w:r w:rsidR="0042057C" w:rsidRPr="00F44510">
        <w:rPr>
          <w:sz w:val="20"/>
        </w:rPr>
        <w:t>[</w:t>
      </w:r>
      <w:r w:rsidRPr="00F44510">
        <w:rPr>
          <w:sz w:val="20"/>
        </w:rPr>
        <w:t>TMA</w:t>
      </w:r>
      <w:r w:rsidR="0042057C" w:rsidRPr="00F44510">
        <w:rPr>
          <w:sz w:val="20"/>
        </w:rPr>
        <w:t xml:space="preserve">]. </w:t>
      </w:r>
      <w:r w:rsidRPr="00F44510">
        <w:rPr>
          <w:sz w:val="20"/>
        </w:rPr>
        <w:t xml:space="preserve">No entanto, após a análise de sensibilidade com valores de remuneração mais altos ao produtor, as opções de fornecimento de "cana spot" e </w:t>
      </w:r>
      <w:proofErr w:type="gramStart"/>
      <w:r w:rsidRPr="00F44510">
        <w:rPr>
          <w:sz w:val="20"/>
        </w:rPr>
        <w:t>arrendamento</w:t>
      </w:r>
      <w:proofErr w:type="gramEnd"/>
      <w:r w:rsidRPr="00F44510">
        <w:rPr>
          <w:sz w:val="20"/>
        </w:rPr>
        <w:t xml:space="preserve"> exibiram resultados otimistas. Deste modo, conclui-se que a produção de cana-de-açúcar é uma ativid</w:t>
      </w:r>
      <w:r w:rsidR="00F20C9A" w:rsidRPr="00F44510">
        <w:rPr>
          <w:sz w:val="20"/>
        </w:rPr>
        <w:t>ade inviável para proprietários de</w:t>
      </w:r>
      <w:r w:rsidRPr="00F44510">
        <w:rPr>
          <w:sz w:val="20"/>
        </w:rPr>
        <w:t xml:space="preserve"> </w:t>
      </w:r>
      <w:r w:rsidR="00F20C9A" w:rsidRPr="00F44510">
        <w:rPr>
          <w:sz w:val="20"/>
        </w:rPr>
        <w:t xml:space="preserve">terra com </w:t>
      </w:r>
      <w:r w:rsidRPr="00F44510">
        <w:rPr>
          <w:sz w:val="20"/>
        </w:rPr>
        <w:t>pequenas área</w:t>
      </w:r>
      <w:r w:rsidR="0042057C" w:rsidRPr="00F44510">
        <w:rPr>
          <w:sz w:val="20"/>
        </w:rPr>
        <w:t>s</w:t>
      </w:r>
      <w:r w:rsidR="00175152" w:rsidRPr="00F44510">
        <w:rPr>
          <w:sz w:val="20"/>
        </w:rPr>
        <w:t xml:space="preserve"> (</w:t>
      </w:r>
      <w:r w:rsidR="005C4E50" w:rsidRPr="00F44510">
        <w:rPr>
          <w:sz w:val="20"/>
        </w:rPr>
        <w:t>100 ha, em média</w:t>
      </w:r>
      <w:r w:rsidR="00175152" w:rsidRPr="00F44510">
        <w:rPr>
          <w:sz w:val="20"/>
        </w:rPr>
        <w:t>)</w:t>
      </w:r>
      <w:r w:rsidRPr="00F44510">
        <w:rPr>
          <w:sz w:val="20"/>
        </w:rPr>
        <w:t xml:space="preserve"> em Chavantes/SP. Porém, considerando a análise de sensibilidade, a modalidade de fornecimento próprio de cana "spot" é a alternativa</w:t>
      </w:r>
      <w:r w:rsidRPr="00F44510">
        <w:rPr>
          <w:color w:val="000000" w:themeColor="text1"/>
          <w:sz w:val="20"/>
        </w:rPr>
        <w:t xml:space="preserve"> mais atrativa economicamente, pois o VPL e TIR apresentaram valores mais elevados do que aqueles encontrados no arrendamento. No entanto, </w:t>
      </w:r>
      <w:r w:rsidR="0042057C" w:rsidRPr="00F44510">
        <w:rPr>
          <w:color w:val="000000" w:themeColor="text1"/>
          <w:sz w:val="20"/>
        </w:rPr>
        <w:t>a</w:t>
      </w:r>
      <w:r w:rsidRPr="00F44510">
        <w:rPr>
          <w:color w:val="000000" w:themeColor="text1"/>
          <w:sz w:val="20"/>
        </w:rPr>
        <w:t xml:space="preserve"> opção </w:t>
      </w:r>
      <w:r w:rsidR="0042057C" w:rsidRPr="00F44510">
        <w:rPr>
          <w:color w:val="000000" w:themeColor="text1"/>
          <w:sz w:val="20"/>
        </w:rPr>
        <w:t xml:space="preserve">de cana "spot" </w:t>
      </w:r>
      <w:r w:rsidRPr="00F44510">
        <w:rPr>
          <w:color w:val="000000" w:themeColor="text1"/>
          <w:sz w:val="20"/>
        </w:rPr>
        <w:t xml:space="preserve">possui elevado risco para o produtor, que fica condicionado à demanda de mercado. </w:t>
      </w:r>
    </w:p>
    <w:p w:rsidR="006F6886" w:rsidRPr="00F44510" w:rsidRDefault="000B087E" w:rsidP="006F6886">
      <w:pPr>
        <w:spacing w:line="240" w:lineRule="auto"/>
        <w:rPr>
          <w:color w:val="000000" w:themeColor="text1"/>
          <w:sz w:val="20"/>
        </w:rPr>
      </w:pPr>
      <w:r w:rsidRPr="00F44510">
        <w:rPr>
          <w:b/>
          <w:color w:val="000000" w:themeColor="text1"/>
          <w:sz w:val="20"/>
        </w:rPr>
        <w:t>Palavras-c</w:t>
      </w:r>
      <w:r w:rsidR="006F6886" w:rsidRPr="00F44510">
        <w:rPr>
          <w:b/>
          <w:color w:val="000000" w:themeColor="text1"/>
          <w:sz w:val="20"/>
        </w:rPr>
        <w:t>have:</w:t>
      </w:r>
      <w:r w:rsidR="006F6886" w:rsidRPr="00F44510">
        <w:rPr>
          <w:color w:val="000000" w:themeColor="text1"/>
          <w:sz w:val="20"/>
        </w:rPr>
        <w:t xml:space="preserve"> </w:t>
      </w:r>
      <w:r w:rsidR="00A9450A" w:rsidRPr="00F44510">
        <w:rPr>
          <w:color w:val="000000" w:themeColor="text1"/>
          <w:sz w:val="20"/>
        </w:rPr>
        <w:t xml:space="preserve">cana esteira, cana </w:t>
      </w:r>
      <w:r w:rsidR="00A9450A" w:rsidRPr="00B5462E">
        <w:rPr>
          <w:color w:val="000000" w:themeColor="text1"/>
          <w:sz w:val="20"/>
        </w:rPr>
        <w:t>spot</w:t>
      </w:r>
      <w:r w:rsidR="00A9450A" w:rsidRPr="00F44510">
        <w:rPr>
          <w:color w:val="000000" w:themeColor="text1"/>
          <w:sz w:val="20"/>
        </w:rPr>
        <w:t xml:space="preserve">, </w:t>
      </w:r>
      <w:r w:rsidR="00D27FAA" w:rsidRPr="00F44510">
        <w:rPr>
          <w:color w:val="000000" w:themeColor="text1"/>
          <w:sz w:val="20"/>
        </w:rPr>
        <w:t xml:space="preserve">custo de oportunidade, </w:t>
      </w:r>
      <w:r w:rsidR="00A9450A" w:rsidRPr="00F44510">
        <w:rPr>
          <w:color w:val="000000" w:themeColor="text1"/>
          <w:sz w:val="20"/>
        </w:rPr>
        <w:t>sistemas de produção</w:t>
      </w:r>
      <w:r w:rsidR="00DF1700" w:rsidRPr="00F44510">
        <w:rPr>
          <w:color w:val="000000" w:themeColor="text1"/>
          <w:sz w:val="20"/>
        </w:rPr>
        <w:t xml:space="preserve"> </w:t>
      </w:r>
    </w:p>
    <w:p w:rsidR="006F6886" w:rsidRPr="00F44510" w:rsidRDefault="006F6886" w:rsidP="006F6886">
      <w:pPr>
        <w:spacing w:line="240" w:lineRule="auto"/>
        <w:rPr>
          <w:b/>
          <w:sz w:val="20"/>
        </w:rPr>
      </w:pPr>
    </w:p>
    <w:p w:rsidR="00B07C8A" w:rsidRPr="00F44510" w:rsidRDefault="00B07C8A" w:rsidP="0042057C">
      <w:pPr>
        <w:spacing w:line="240" w:lineRule="auto"/>
        <w:jc w:val="left"/>
        <w:rPr>
          <w:b/>
          <w:sz w:val="20"/>
          <w:lang w:val="en-US"/>
        </w:rPr>
      </w:pPr>
      <w:r w:rsidRPr="00F44510">
        <w:rPr>
          <w:b/>
          <w:sz w:val="20"/>
          <w:lang w:val="en-US"/>
        </w:rPr>
        <w:t>Abstract</w:t>
      </w:r>
    </w:p>
    <w:p w:rsidR="00175152" w:rsidRPr="00F44510" w:rsidRDefault="00B07C8A" w:rsidP="00AC004F">
      <w:pPr>
        <w:spacing w:line="240" w:lineRule="auto"/>
        <w:ind w:firstLine="708"/>
        <w:rPr>
          <w:sz w:val="20"/>
          <w:lang w:val="en-US"/>
        </w:rPr>
      </w:pPr>
      <w:r w:rsidRPr="00F44510">
        <w:rPr>
          <w:sz w:val="20"/>
          <w:lang w:val="en-US"/>
        </w:rPr>
        <w:t xml:space="preserve">The objective of this study was to compare </w:t>
      </w:r>
      <w:r w:rsidR="00DF1700" w:rsidRPr="00F44510">
        <w:rPr>
          <w:sz w:val="20"/>
          <w:lang w:val="en-US"/>
        </w:rPr>
        <w:t xml:space="preserve">the </w:t>
      </w:r>
      <w:r w:rsidRPr="00F44510">
        <w:rPr>
          <w:sz w:val="20"/>
          <w:lang w:val="en-US"/>
        </w:rPr>
        <w:t xml:space="preserve">sugarcane production </w:t>
      </w:r>
      <w:r w:rsidR="00DF1700" w:rsidRPr="00F44510">
        <w:rPr>
          <w:sz w:val="20"/>
          <w:lang w:val="en-US"/>
        </w:rPr>
        <w:t xml:space="preserve">profitability </w:t>
      </w:r>
      <w:r w:rsidRPr="00F44510">
        <w:rPr>
          <w:sz w:val="20"/>
          <w:lang w:val="en-US"/>
        </w:rPr>
        <w:t xml:space="preserve">by lease and own supply systems, aiming to help </w:t>
      </w:r>
      <w:r w:rsidR="00551C0D" w:rsidRPr="00F44510">
        <w:rPr>
          <w:sz w:val="20"/>
          <w:lang w:val="en-US"/>
        </w:rPr>
        <w:t>landowners</w:t>
      </w:r>
      <w:r w:rsidRPr="00F44510">
        <w:rPr>
          <w:sz w:val="20"/>
          <w:lang w:val="en-US"/>
        </w:rPr>
        <w:t xml:space="preserve"> in the choice of the most viable alternative in current market situation. </w:t>
      </w:r>
      <w:r w:rsidR="00DF1700" w:rsidRPr="00F44510">
        <w:rPr>
          <w:sz w:val="20"/>
          <w:lang w:val="en-US"/>
        </w:rPr>
        <w:t>The s</w:t>
      </w:r>
      <w:r w:rsidRPr="00F44510">
        <w:rPr>
          <w:sz w:val="20"/>
          <w:lang w:val="en-US"/>
        </w:rPr>
        <w:t xml:space="preserve">upply system </w:t>
      </w:r>
      <w:proofErr w:type="gramStart"/>
      <w:r w:rsidRPr="00F44510">
        <w:rPr>
          <w:sz w:val="20"/>
          <w:lang w:val="en-US"/>
        </w:rPr>
        <w:t>was divided</w:t>
      </w:r>
      <w:proofErr w:type="gramEnd"/>
      <w:r w:rsidRPr="00F44510">
        <w:rPr>
          <w:sz w:val="20"/>
          <w:lang w:val="en-US"/>
        </w:rPr>
        <w:t xml:space="preserve"> into two categories: "spot sugarcane" and "mat sugarcane". For analysis, we used data from sugarcane suppliers </w:t>
      </w:r>
      <w:r w:rsidR="00F20C9A" w:rsidRPr="00F44510">
        <w:rPr>
          <w:sz w:val="20"/>
          <w:lang w:val="en-US"/>
        </w:rPr>
        <w:t xml:space="preserve">(2014/2015 crop) </w:t>
      </w:r>
      <w:r w:rsidRPr="00F44510">
        <w:rPr>
          <w:sz w:val="20"/>
          <w:lang w:val="en-US"/>
        </w:rPr>
        <w:t xml:space="preserve">affiliated to an association located in </w:t>
      </w:r>
      <w:proofErr w:type="spellStart"/>
      <w:r w:rsidRPr="00F44510">
        <w:rPr>
          <w:sz w:val="20"/>
          <w:lang w:val="en-US"/>
        </w:rPr>
        <w:t>Chavantes</w:t>
      </w:r>
      <w:proofErr w:type="spellEnd"/>
      <w:r w:rsidRPr="00F44510">
        <w:rPr>
          <w:sz w:val="20"/>
          <w:lang w:val="en-US"/>
        </w:rPr>
        <w:t xml:space="preserve">, in the </w:t>
      </w:r>
      <w:proofErr w:type="spellStart"/>
      <w:proofErr w:type="gramStart"/>
      <w:r w:rsidRPr="00F44510">
        <w:rPr>
          <w:sz w:val="20"/>
          <w:lang w:val="en-US"/>
        </w:rPr>
        <w:t>midwest</w:t>
      </w:r>
      <w:proofErr w:type="spellEnd"/>
      <w:proofErr w:type="gramEnd"/>
      <w:r w:rsidRPr="00F44510">
        <w:rPr>
          <w:sz w:val="20"/>
          <w:lang w:val="en-US"/>
        </w:rPr>
        <w:t xml:space="preserve"> region of São Paulo. The </w:t>
      </w:r>
      <w:r w:rsidRPr="00F44510">
        <w:rPr>
          <w:rStyle w:val="hps"/>
          <w:sz w:val="20"/>
          <w:lang w:val="en-US"/>
        </w:rPr>
        <w:t>cash flows</w:t>
      </w:r>
      <w:r w:rsidRPr="00F44510">
        <w:rPr>
          <w:sz w:val="20"/>
          <w:lang w:val="en-US"/>
        </w:rPr>
        <w:t xml:space="preserve"> </w:t>
      </w:r>
      <w:r w:rsidRPr="00F44510">
        <w:rPr>
          <w:rStyle w:val="hps"/>
          <w:sz w:val="20"/>
          <w:lang w:val="en-US"/>
        </w:rPr>
        <w:t>for each</w:t>
      </w:r>
      <w:r w:rsidRPr="00F44510">
        <w:rPr>
          <w:sz w:val="20"/>
          <w:lang w:val="en-US"/>
        </w:rPr>
        <w:t xml:space="preserve"> </w:t>
      </w:r>
      <w:r w:rsidRPr="00F44510">
        <w:rPr>
          <w:rStyle w:val="hps"/>
          <w:sz w:val="20"/>
          <w:lang w:val="en-US"/>
        </w:rPr>
        <w:t xml:space="preserve">production system </w:t>
      </w:r>
      <w:proofErr w:type="gramStart"/>
      <w:r w:rsidRPr="00F44510">
        <w:rPr>
          <w:rStyle w:val="hps"/>
          <w:sz w:val="20"/>
          <w:lang w:val="en-US"/>
        </w:rPr>
        <w:t>was performed</w:t>
      </w:r>
      <w:proofErr w:type="gramEnd"/>
      <w:r w:rsidRPr="00F44510">
        <w:rPr>
          <w:sz w:val="20"/>
          <w:lang w:val="en-US"/>
        </w:rPr>
        <w:t xml:space="preserve">; </w:t>
      </w:r>
      <w:r w:rsidRPr="00F44510">
        <w:rPr>
          <w:rStyle w:val="hps"/>
          <w:sz w:val="20"/>
          <w:lang w:val="en-US"/>
        </w:rPr>
        <w:t xml:space="preserve">then, </w:t>
      </w:r>
      <w:r w:rsidR="00DF1700" w:rsidRPr="00F44510">
        <w:rPr>
          <w:rStyle w:val="hps"/>
          <w:sz w:val="20"/>
          <w:lang w:val="en-US"/>
        </w:rPr>
        <w:t xml:space="preserve">we calculated </w:t>
      </w:r>
      <w:r w:rsidRPr="00F44510">
        <w:rPr>
          <w:rStyle w:val="hps"/>
          <w:sz w:val="20"/>
          <w:lang w:val="en-US"/>
        </w:rPr>
        <w:t>net present value</w:t>
      </w:r>
      <w:r w:rsidRPr="00F44510">
        <w:rPr>
          <w:sz w:val="20"/>
          <w:lang w:val="en-US"/>
        </w:rPr>
        <w:t xml:space="preserve"> </w:t>
      </w:r>
      <w:r w:rsidRPr="00F44510">
        <w:rPr>
          <w:rStyle w:val="hps"/>
          <w:sz w:val="20"/>
          <w:lang w:val="en-US"/>
        </w:rPr>
        <w:t>(NPV</w:t>
      </w:r>
      <w:r w:rsidRPr="00F44510">
        <w:rPr>
          <w:sz w:val="20"/>
          <w:lang w:val="en-US"/>
        </w:rPr>
        <w:t xml:space="preserve">), internal rate </w:t>
      </w:r>
      <w:r w:rsidRPr="00F44510">
        <w:rPr>
          <w:rStyle w:val="hps"/>
          <w:sz w:val="20"/>
          <w:lang w:val="en-US"/>
        </w:rPr>
        <w:t>of return (IRR</w:t>
      </w:r>
      <w:r w:rsidRPr="00F44510">
        <w:rPr>
          <w:sz w:val="20"/>
          <w:lang w:val="en-US"/>
        </w:rPr>
        <w:t xml:space="preserve">), </w:t>
      </w:r>
      <w:r w:rsidRPr="00F44510">
        <w:rPr>
          <w:rStyle w:val="hps"/>
          <w:sz w:val="20"/>
          <w:lang w:val="en-US"/>
        </w:rPr>
        <w:t>simple</w:t>
      </w:r>
      <w:r w:rsidRPr="00F44510">
        <w:rPr>
          <w:sz w:val="20"/>
          <w:lang w:val="en-US"/>
        </w:rPr>
        <w:t xml:space="preserve"> </w:t>
      </w:r>
      <w:r w:rsidRPr="00F44510">
        <w:rPr>
          <w:rStyle w:val="hps"/>
          <w:sz w:val="20"/>
          <w:lang w:val="en-US"/>
        </w:rPr>
        <w:t>payback</w:t>
      </w:r>
      <w:r w:rsidRPr="00F44510">
        <w:rPr>
          <w:sz w:val="20"/>
          <w:lang w:val="en-US"/>
        </w:rPr>
        <w:t xml:space="preserve"> </w:t>
      </w:r>
      <w:r w:rsidRPr="00F44510">
        <w:rPr>
          <w:rStyle w:val="hps"/>
          <w:sz w:val="20"/>
          <w:lang w:val="en-US"/>
        </w:rPr>
        <w:t>and</w:t>
      </w:r>
      <w:r w:rsidRPr="00F44510">
        <w:rPr>
          <w:sz w:val="20"/>
          <w:lang w:val="en-US"/>
        </w:rPr>
        <w:t xml:space="preserve"> </w:t>
      </w:r>
      <w:r w:rsidRPr="00F44510">
        <w:rPr>
          <w:rStyle w:val="hps"/>
          <w:sz w:val="20"/>
          <w:lang w:val="en-US"/>
        </w:rPr>
        <w:t>sens</w:t>
      </w:r>
      <w:r w:rsidR="00DF1700" w:rsidRPr="00F44510">
        <w:rPr>
          <w:rStyle w:val="hps"/>
          <w:sz w:val="20"/>
          <w:lang w:val="en-US"/>
        </w:rPr>
        <w:t>itivity analysis</w:t>
      </w:r>
      <w:r w:rsidRPr="00F44510">
        <w:rPr>
          <w:sz w:val="20"/>
          <w:lang w:val="en-US"/>
        </w:rPr>
        <w:t xml:space="preserve">. The results indicated </w:t>
      </w:r>
      <w:r w:rsidRPr="00F44510">
        <w:rPr>
          <w:rStyle w:val="hps"/>
          <w:sz w:val="20"/>
          <w:lang w:val="en-US"/>
        </w:rPr>
        <w:t>impossibility of</w:t>
      </w:r>
      <w:r w:rsidRPr="00F44510">
        <w:rPr>
          <w:sz w:val="20"/>
          <w:lang w:val="en-US"/>
        </w:rPr>
        <w:t xml:space="preserve"> </w:t>
      </w:r>
      <w:r w:rsidR="00F22DF4" w:rsidRPr="00F44510">
        <w:rPr>
          <w:sz w:val="20"/>
          <w:lang w:val="en-US"/>
        </w:rPr>
        <w:t xml:space="preserve">sugarcane </w:t>
      </w:r>
      <w:r w:rsidR="00F22DF4" w:rsidRPr="00F44510">
        <w:rPr>
          <w:rStyle w:val="hps"/>
          <w:sz w:val="20"/>
          <w:lang w:val="en-US"/>
        </w:rPr>
        <w:t xml:space="preserve">production </w:t>
      </w:r>
      <w:r w:rsidRPr="00F44510">
        <w:rPr>
          <w:rStyle w:val="hps"/>
          <w:sz w:val="20"/>
          <w:lang w:val="en-US"/>
        </w:rPr>
        <w:t>in all cases, since</w:t>
      </w:r>
      <w:r w:rsidRPr="00F44510">
        <w:rPr>
          <w:sz w:val="20"/>
          <w:lang w:val="en-US"/>
        </w:rPr>
        <w:t xml:space="preserve"> </w:t>
      </w:r>
      <w:r w:rsidRPr="00F44510">
        <w:rPr>
          <w:rStyle w:val="hps"/>
          <w:sz w:val="20"/>
          <w:lang w:val="en-US"/>
        </w:rPr>
        <w:t>NPV was negative and IRR</w:t>
      </w:r>
      <w:r w:rsidRPr="00F44510">
        <w:rPr>
          <w:sz w:val="20"/>
          <w:lang w:val="en-US"/>
        </w:rPr>
        <w:t xml:space="preserve"> value was </w:t>
      </w:r>
      <w:r w:rsidR="00F22DF4" w:rsidRPr="00F44510">
        <w:rPr>
          <w:rStyle w:val="hps"/>
          <w:sz w:val="20"/>
          <w:lang w:val="en-US"/>
        </w:rPr>
        <w:t>lower</w:t>
      </w:r>
      <w:r w:rsidRPr="00F44510">
        <w:rPr>
          <w:rStyle w:val="hps"/>
          <w:sz w:val="20"/>
          <w:lang w:val="en-US"/>
        </w:rPr>
        <w:t xml:space="preserve"> than the</w:t>
      </w:r>
      <w:r w:rsidRPr="00F44510">
        <w:rPr>
          <w:sz w:val="20"/>
          <w:lang w:val="en-US"/>
        </w:rPr>
        <w:t xml:space="preserve"> </w:t>
      </w:r>
      <w:r w:rsidRPr="00F44510">
        <w:rPr>
          <w:rStyle w:val="hps"/>
          <w:sz w:val="20"/>
          <w:lang w:val="en-US"/>
        </w:rPr>
        <w:t>minimum rate</w:t>
      </w:r>
      <w:r w:rsidRPr="00F44510">
        <w:rPr>
          <w:sz w:val="20"/>
          <w:lang w:val="en-US"/>
        </w:rPr>
        <w:t xml:space="preserve"> </w:t>
      </w:r>
      <w:r w:rsidRPr="00F44510">
        <w:rPr>
          <w:rStyle w:val="hps"/>
          <w:sz w:val="20"/>
          <w:lang w:val="en-US"/>
        </w:rPr>
        <w:t>of</w:t>
      </w:r>
      <w:r w:rsidRPr="00F44510">
        <w:rPr>
          <w:sz w:val="20"/>
          <w:lang w:val="en-US"/>
        </w:rPr>
        <w:t xml:space="preserve"> </w:t>
      </w:r>
      <w:r w:rsidRPr="00F44510">
        <w:rPr>
          <w:rStyle w:val="hps"/>
          <w:sz w:val="20"/>
          <w:lang w:val="en-US"/>
        </w:rPr>
        <w:t>attractiveness</w:t>
      </w:r>
      <w:r w:rsidRPr="00F44510">
        <w:rPr>
          <w:sz w:val="20"/>
          <w:lang w:val="en-US"/>
        </w:rPr>
        <w:t xml:space="preserve"> </w:t>
      </w:r>
      <w:r w:rsidRPr="00F44510">
        <w:rPr>
          <w:rStyle w:val="hps"/>
          <w:sz w:val="20"/>
          <w:lang w:val="en-US"/>
        </w:rPr>
        <w:t>(MRA</w:t>
      </w:r>
      <w:r w:rsidRPr="00F44510">
        <w:rPr>
          <w:sz w:val="20"/>
          <w:lang w:val="en-US"/>
        </w:rPr>
        <w:t xml:space="preserve">). </w:t>
      </w:r>
      <w:r w:rsidRPr="00F44510">
        <w:rPr>
          <w:rStyle w:val="hps"/>
          <w:sz w:val="20"/>
          <w:lang w:val="en-US"/>
        </w:rPr>
        <w:t>However, sensitivity analysis</w:t>
      </w:r>
      <w:r w:rsidRPr="00F44510">
        <w:rPr>
          <w:sz w:val="20"/>
          <w:lang w:val="en-US"/>
        </w:rPr>
        <w:t xml:space="preserve"> </w:t>
      </w:r>
      <w:r w:rsidRPr="00F44510">
        <w:rPr>
          <w:rStyle w:val="hps"/>
          <w:sz w:val="20"/>
          <w:lang w:val="en-US"/>
        </w:rPr>
        <w:t>simulating</w:t>
      </w:r>
      <w:r w:rsidRPr="00F44510">
        <w:rPr>
          <w:sz w:val="20"/>
          <w:lang w:val="en-US"/>
        </w:rPr>
        <w:t xml:space="preserve"> </w:t>
      </w:r>
      <w:r w:rsidRPr="00F44510">
        <w:rPr>
          <w:rStyle w:val="hps"/>
          <w:sz w:val="20"/>
          <w:lang w:val="en-US"/>
        </w:rPr>
        <w:t>higher</w:t>
      </w:r>
      <w:r w:rsidRPr="00F44510">
        <w:rPr>
          <w:sz w:val="20"/>
          <w:lang w:val="en-US"/>
        </w:rPr>
        <w:t xml:space="preserve"> </w:t>
      </w:r>
      <w:r w:rsidRPr="00F44510">
        <w:rPr>
          <w:rStyle w:val="hps"/>
          <w:sz w:val="20"/>
          <w:lang w:val="en-US"/>
        </w:rPr>
        <w:t>compensation values</w:t>
      </w:r>
      <w:r w:rsidRPr="00F44510">
        <w:rPr>
          <w:sz w:val="20"/>
          <w:lang w:val="en-US"/>
        </w:rPr>
        <w:t xml:space="preserve"> </w:t>
      </w:r>
      <w:r w:rsidRPr="00F44510">
        <w:rPr>
          <w:rStyle w:val="hps"/>
          <w:sz w:val="20"/>
          <w:lang w:val="en-US"/>
        </w:rPr>
        <w:t>to producers</w:t>
      </w:r>
      <w:r w:rsidRPr="00F44510">
        <w:rPr>
          <w:sz w:val="20"/>
          <w:lang w:val="en-US"/>
        </w:rPr>
        <w:t xml:space="preserve"> revealed that supply of </w:t>
      </w:r>
      <w:r w:rsidRPr="00F44510">
        <w:rPr>
          <w:rStyle w:val="hps"/>
          <w:sz w:val="20"/>
          <w:lang w:val="en-US"/>
        </w:rPr>
        <w:t>"spot</w:t>
      </w:r>
      <w:r w:rsidRPr="00F44510">
        <w:rPr>
          <w:sz w:val="20"/>
          <w:lang w:val="en-US"/>
        </w:rPr>
        <w:t xml:space="preserve"> </w:t>
      </w:r>
      <w:r w:rsidRPr="00F44510">
        <w:rPr>
          <w:rStyle w:val="hps"/>
          <w:sz w:val="20"/>
          <w:lang w:val="en-US"/>
        </w:rPr>
        <w:t>sugarcane"</w:t>
      </w:r>
      <w:r w:rsidRPr="00F44510">
        <w:rPr>
          <w:sz w:val="20"/>
          <w:lang w:val="en-US"/>
        </w:rPr>
        <w:t xml:space="preserve"> </w:t>
      </w:r>
      <w:r w:rsidRPr="00F44510">
        <w:rPr>
          <w:rStyle w:val="hps"/>
          <w:sz w:val="20"/>
          <w:lang w:val="en-US"/>
        </w:rPr>
        <w:t>and lease</w:t>
      </w:r>
      <w:r w:rsidR="00A9450A" w:rsidRPr="00F44510">
        <w:rPr>
          <w:rStyle w:val="hps"/>
          <w:sz w:val="20"/>
          <w:lang w:val="en-US"/>
        </w:rPr>
        <w:t xml:space="preserve"> system</w:t>
      </w:r>
      <w:r w:rsidRPr="00F44510">
        <w:rPr>
          <w:sz w:val="20"/>
          <w:lang w:val="en-US"/>
        </w:rPr>
        <w:t xml:space="preserve"> </w:t>
      </w:r>
      <w:r w:rsidRPr="00F44510">
        <w:rPr>
          <w:rStyle w:val="hps"/>
          <w:sz w:val="20"/>
          <w:lang w:val="en-US"/>
        </w:rPr>
        <w:t>showed</w:t>
      </w:r>
      <w:r w:rsidRPr="00F44510">
        <w:rPr>
          <w:sz w:val="20"/>
          <w:lang w:val="en-US"/>
        </w:rPr>
        <w:t xml:space="preserve"> </w:t>
      </w:r>
      <w:r w:rsidRPr="00F44510">
        <w:rPr>
          <w:rStyle w:val="hps"/>
          <w:sz w:val="20"/>
          <w:lang w:val="en-US"/>
        </w:rPr>
        <w:t>optimistic</w:t>
      </w:r>
      <w:r w:rsidRPr="00F44510">
        <w:rPr>
          <w:sz w:val="20"/>
          <w:lang w:val="en-US"/>
        </w:rPr>
        <w:t xml:space="preserve"> </w:t>
      </w:r>
      <w:r w:rsidRPr="00F44510">
        <w:rPr>
          <w:rStyle w:val="hps"/>
          <w:sz w:val="20"/>
          <w:lang w:val="en-US"/>
        </w:rPr>
        <w:t>results</w:t>
      </w:r>
      <w:r w:rsidRPr="00F44510">
        <w:rPr>
          <w:sz w:val="20"/>
          <w:lang w:val="en-US"/>
        </w:rPr>
        <w:t xml:space="preserve">. Therefore, it can be concluded that </w:t>
      </w:r>
      <w:r w:rsidRPr="00F44510">
        <w:rPr>
          <w:rStyle w:val="hps"/>
          <w:sz w:val="20"/>
          <w:lang w:val="en-US"/>
        </w:rPr>
        <w:t>sugarcane</w:t>
      </w:r>
      <w:r w:rsidRPr="00F44510">
        <w:rPr>
          <w:sz w:val="20"/>
          <w:lang w:val="en-US"/>
        </w:rPr>
        <w:t xml:space="preserve"> production </w:t>
      </w:r>
      <w:r w:rsidRPr="00F44510">
        <w:rPr>
          <w:rStyle w:val="hps"/>
          <w:sz w:val="20"/>
          <w:lang w:val="en-US"/>
        </w:rPr>
        <w:t>is</w:t>
      </w:r>
      <w:r w:rsidRPr="00F44510">
        <w:rPr>
          <w:sz w:val="20"/>
          <w:lang w:val="en-US"/>
        </w:rPr>
        <w:t xml:space="preserve"> </w:t>
      </w:r>
      <w:r w:rsidRPr="00F44510">
        <w:rPr>
          <w:rStyle w:val="hps"/>
          <w:sz w:val="20"/>
          <w:lang w:val="en-US"/>
        </w:rPr>
        <w:t>not a viable</w:t>
      </w:r>
      <w:r w:rsidRPr="00F44510">
        <w:rPr>
          <w:sz w:val="20"/>
          <w:lang w:val="en-US"/>
        </w:rPr>
        <w:t xml:space="preserve"> </w:t>
      </w:r>
      <w:r w:rsidRPr="00F44510">
        <w:rPr>
          <w:rStyle w:val="hps"/>
          <w:sz w:val="20"/>
          <w:lang w:val="en-US"/>
        </w:rPr>
        <w:t xml:space="preserve">activity for </w:t>
      </w:r>
      <w:r w:rsidR="00551C0D" w:rsidRPr="00F44510">
        <w:rPr>
          <w:sz w:val="20"/>
          <w:lang w:val="en-US"/>
        </w:rPr>
        <w:t xml:space="preserve">landowners </w:t>
      </w:r>
      <w:r w:rsidRPr="00F44510">
        <w:rPr>
          <w:rStyle w:val="hps"/>
          <w:sz w:val="20"/>
          <w:lang w:val="en-US"/>
        </w:rPr>
        <w:t>with small areas</w:t>
      </w:r>
      <w:r w:rsidR="00175152" w:rsidRPr="00F44510">
        <w:rPr>
          <w:rStyle w:val="hps"/>
          <w:sz w:val="20"/>
          <w:lang w:val="en-US"/>
        </w:rPr>
        <w:t xml:space="preserve"> (</w:t>
      </w:r>
      <w:r w:rsidR="005C4E50" w:rsidRPr="00F44510">
        <w:rPr>
          <w:rStyle w:val="hps"/>
          <w:sz w:val="20"/>
          <w:lang w:val="en-US"/>
        </w:rPr>
        <w:t>100 ha, approximately</w:t>
      </w:r>
      <w:r w:rsidR="00175152" w:rsidRPr="00F44510">
        <w:rPr>
          <w:rStyle w:val="hps"/>
          <w:sz w:val="20"/>
          <w:lang w:val="en-US"/>
        </w:rPr>
        <w:t>)</w:t>
      </w:r>
      <w:r w:rsidRPr="00F44510">
        <w:rPr>
          <w:rStyle w:val="hps"/>
          <w:sz w:val="20"/>
          <w:lang w:val="en-US"/>
        </w:rPr>
        <w:t xml:space="preserve"> in Chavantes/SP.</w:t>
      </w:r>
      <w:r w:rsidRPr="00F44510">
        <w:rPr>
          <w:sz w:val="20"/>
          <w:lang w:val="en-US"/>
        </w:rPr>
        <w:t xml:space="preserve"> </w:t>
      </w:r>
      <w:r w:rsidRPr="00F44510">
        <w:rPr>
          <w:rStyle w:val="hps"/>
          <w:sz w:val="20"/>
          <w:lang w:val="en-US"/>
        </w:rPr>
        <w:t>However,</w:t>
      </w:r>
      <w:r w:rsidRPr="00F44510">
        <w:rPr>
          <w:sz w:val="20"/>
          <w:lang w:val="en-US"/>
        </w:rPr>
        <w:t xml:space="preserve"> considering sensibility analysis, </w:t>
      </w:r>
      <w:r w:rsidRPr="00F44510">
        <w:rPr>
          <w:rStyle w:val="hps"/>
          <w:sz w:val="20"/>
          <w:lang w:val="en-US"/>
        </w:rPr>
        <w:t>the</w:t>
      </w:r>
      <w:r w:rsidRPr="00F44510">
        <w:rPr>
          <w:sz w:val="20"/>
          <w:lang w:val="en-US"/>
        </w:rPr>
        <w:t xml:space="preserve"> supply </w:t>
      </w:r>
      <w:r w:rsidRPr="00F44510">
        <w:rPr>
          <w:rStyle w:val="hps"/>
          <w:sz w:val="20"/>
          <w:lang w:val="en-US"/>
        </w:rPr>
        <w:t>system of “</w:t>
      </w:r>
      <w:r w:rsidRPr="00F44510">
        <w:rPr>
          <w:sz w:val="20"/>
          <w:lang w:val="en-US"/>
        </w:rPr>
        <w:t xml:space="preserve">spot sugarcane" </w:t>
      </w:r>
      <w:r w:rsidRPr="00F44510">
        <w:rPr>
          <w:rStyle w:val="hps"/>
          <w:sz w:val="20"/>
          <w:lang w:val="en-US"/>
        </w:rPr>
        <w:t>is the most</w:t>
      </w:r>
      <w:r w:rsidRPr="00F44510">
        <w:rPr>
          <w:sz w:val="20"/>
          <w:lang w:val="en-US"/>
        </w:rPr>
        <w:t xml:space="preserve"> </w:t>
      </w:r>
      <w:r w:rsidRPr="00F44510">
        <w:rPr>
          <w:rStyle w:val="hps"/>
          <w:sz w:val="20"/>
          <w:lang w:val="en-US"/>
        </w:rPr>
        <w:t>economically</w:t>
      </w:r>
      <w:r w:rsidRPr="00F44510">
        <w:rPr>
          <w:sz w:val="20"/>
          <w:lang w:val="en-US"/>
        </w:rPr>
        <w:t xml:space="preserve"> </w:t>
      </w:r>
      <w:r w:rsidRPr="00F44510">
        <w:rPr>
          <w:rStyle w:val="hps"/>
          <w:sz w:val="20"/>
          <w:lang w:val="en-US"/>
        </w:rPr>
        <w:t>attractive alternative</w:t>
      </w:r>
      <w:r w:rsidRPr="00F44510">
        <w:rPr>
          <w:sz w:val="20"/>
          <w:lang w:val="en-US"/>
        </w:rPr>
        <w:t xml:space="preserve">, </w:t>
      </w:r>
      <w:r w:rsidRPr="00F44510">
        <w:rPr>
          <w:rStyle w:val="hps"/>
          <w:sz w:val="20"/>
          <w:lang w:val="en-US"/>
        </w:rPr>
        <w:t>because NPV and IRR</w:t>
      </w:r>
      <w:r w:rsidRPr="00F44510">
        <w:rPr>
          <w:sz w:val="20"/>
          <w:lang w:val="en-US"/>
        </w:rPr>
        <w:t xml:space="preserve"> presented values </w:t>
      </w:r>
      <w:r w:rsidRPr="00F44510">
        <w:rPr>
          <w:rStyle w:val="hps"/>
          <w:sz w:val="20"/>
          <w:lang w:val="en-US"/>
        </w:rPr>
        <w:t>higher</w:t>
      </w:r>
      <w:r w:rsidRPr="00F44510">
        <w:rPr>
          <w:sz w:val="20"/>
          <w:lang w:val="en-US"/>
        </w:rPr>
        <w:t xml:space="preserve"> than </w:t>
      </w:r>
      <w:r w:rsidRPr="00F44510">
        <w:rPr>
          <w:rStyle w:val="hps"/>
          <w:sz w:val="20"/>
          <w:lang w:val="en-US"/>
        </w:rPr>
        <w:t>those of lease system.</w:t>
      </w:r>
      <w:r w:rsidRPr="00F44510">
        <w:rPr>
          <w:sz w:val="20"/>
          <w:lang w:val="en-US"/>
        </w:rPr>
        <w:t xml:space="preserve"> </w:t>
      </w:r>
      <w:r w:rsidRPr="00F44510">
        <w:rPr>
          <w:rStyle w:val="hps"/>
          <w:sz w:val="20"/>
          <w:lang w:val="en-US"/>
        </w:rPr>
        <w:t>However</w:t>
      </w:r>
      <w:r w:rsidRPr="00F44510">
        <w:rPr>
          <w:sz w:val="20"/>
          <w:lang w:val="en-US"/>
        </w:rPr>
        <w:t xml:space="preserve">, </w:t>
      </w:r>
      <w:r w:rsidR="0042057C" w:rsidRPr="00F44510">
        <w:rPr>
          <w:sz w:val="20"/>
          <w:lang w:val="en-US"/>
        </w:rPr>
        <w:t>the</w:t>
      </w:r>
      <w:r w:rsidRPr="00F44510">
        <w:rPr>
          <w:sz w:val="20"/>
          <w:lang w:val="en-US"/>
        </w:rPr>
        <w:t xml:space="preserve"> option</w:t>
      </w:r>
      <w:r w:rsidR="0042057C" w:rsidRPr="00F44510">
        <w:rPr>
          <w:sz w:val="20"/>
          <w:lang w:val="en-US"/>
        </w:rPr>
        <w:t xml:space="preserve"> of </w:t>
      </w:r>
      <w:r w:rsidR="0042057C" w:rsidRPr="00F44510">
        <w:rPr>
          <w:rStyle w:val="hps"/>
          <w:sz w:val="20"/>
          <w:lang w:val="en-US"/>
        </w:rPr>
        <w:t>“</w:t>
      </w:r>
      <w:r w:rsidR="0042057C" w:rsidRPr="00F44510">
        <w:rPr>
          <w:sz w:val="20"/>
          <w:lang w:val="en-US"/>
        </w:rPr>
        <w:t xml:space="preserve">spot sugarcane" </w:t>
      </w:r>
      <w:r w:rsidRPr="00F44510">
        <w:rPr>
          <w:rStyle w:val="hps"/>
          <w:sz w:val="20"/>
          <w:lang w:val="en-US"/>
        </w:rPr>
        <w:t>with a high risk</w:t>
      </w:r>
      <w:r w:rsidRPr="00F44510">
        <w:rPr>
          <w:sz w:val="20"/>
          <w:lang w:val="en-US"/>
        </w:rPr>
        <w:t xml:space="preserve"> </w:t>
      </w:r>
      <w:r w:rsidRPr="00F44510">
        <w:rPr>
          <w:rStyle w:val="hps"/>
          <w:sz w:val="20"/>
          <w:lang w:val="en-US"/>
        </w:rPr>
        <w:t>for the producer</w:t>
      </w:r>
      <w:r w:rsidRPr="00F44510">
        <w:rPr>
          <w:sz w:val="20"/>
          <w:lang w:val="en-US"/>
        </w:rPr>
        <w:t xml:space="preserve">, which is </w:t>
      </w:r>
      <w:r w:rsidRPr="00F44510">
        <w:rPr>
          <w:rStyle w:val="hps"/>
          <w:sz w:val="20"/>
          <w:lang w:val="en-US"/>
        </w:rPr>
        <w:t>conditioned to</w:t>
      </w:r>
      <w:r w:rsidRPr="00F44510">
        <w:rPr>
          <w:sz w:val="20"/>
          <w:lang w:val="en-US"/>
        </w:rPr>
        <w:t xml:space="preserve"> </w:t>
      </w:r>
      <w:r w:rsidRPr="00F44510">
        <w:rPr>
          <w:rStyle w:val="hps"/>
          <w:sz w:val="20"/>
          <w:lang w:val="en-US"/>
        </w:rPr>
        <w:t>market demand</w:t>
      </w:r>
      <w:r w:rsidRPr="00F44510">
        <w:rPr>
          <w:sz w:val="20"/>
          <w:lang w:val="en-US"/>
        </w:rPr>
        <w:t xml:space="preserve">. </w:t>
      </w:r>
    </w:p>
    <w:p w:rsidR="00024D6C" w:rsidRPr="00F44510" w:rsidRDefault="004863DD" w:rsidP="0042057C">
      <w:pPr>
        <w:spacing w:line="240" w:lineRule="auto"/>
        <w:rPr>
          <w:sz w:val="20"/>
          <w:lang w:val="en-US"/>
        </w:rPr>
      </w:pPr>
      <w:r w:rsidRPr="00F44510">
        <w:rPr>
          <w:b/>
          <w:sz w:val="20"/>
          <w:lang w:val="en-US"/>
        </w:rPr>
        <w:t xml:space="preserve">Keywords: </w:t>
      </w:r>
      <w:r w:rsidR="00D27FAA" w:rsidRPr="00F44510">
        <w:rPr>
          <w:sz w:val="20"/>
          <w:lang w:val="en-US"/>
        </w:rPr>
        <w:t>mat sugarcane,</w:t>
      </w:r>
      <w:r w:rsidR="00D27FAA" w:rsidRPr="00F44510">
        <w:rPr>
          <w:b/>
          <w:sz w:val="20"/>
          <w:lang w:val="en-US"/>
        </w:rPr>
        <w:t xml:space="preserve"> </w:t>
      </w:r>
      <w:r w:rsidR="00D27FAA" w:rsidRPr="00F44510">
        <w:rPr>
          <w:sz w:val="20"/>
          <w:lang w:val="en-US"/>
        </w:rPr>
        <w:t>opportunity cost</w:t>
      </w:r>
      <w:r w:rsidR="00D27FAA" w:rsidRPr="00F44510">
        <w:rPr>
          <w:b/>
          <w:sz w:val="20"/>
          <w:lang w:val="en-US"/>
        </w:rPr>
        <w:t xml:space="preserve">, </w:t>
      </w:r>
      <w:r w:rsidR="00D27FAA" w:rsidRPr="00F44510">
        <w:rPr>
          <w:sz w:val="20"/>
          <w:lang w:val="en-US"/>
        </w:rPr>
        <w:t>production systems</w:t>
      </w:r>
      <w:r w:rsidR="00A9450A" w:rsidRPr="00F44510">
        <w:rPr>
          <w:sz w:val="20"/>
          <w:lang w:val="en-US"/>
        </w:rPr>
        <w:t>,</w:t>
      </w:r>
      <w:r w:rsidR="00A9450A" w:rsidRPr="00F44510">
        <w:rPr>
          <w:b/>
          <w:sz w:val="20"/>
          <w:lang w:val="en-US"/>
        </w:rPr>
        <w:t xml:space="preserve"> </w:t>
      </w:r>
      <w:r w:rsidR="00A9450A" w:rsidRPr="00F44510">
        <w:rPr>
          <w:sz w:val="20"/>
          <w:lang w:val="en-US"/>
        </w:rPr>
        <w:t>spot sugarcane</w:t>
      </w:r>
    </w:p>
    <w:p w:rsidR="00AC004F" w:rsidRPr="00F44510" w:rsidRDefault="00AC004F" w:rsidP="0042057C">
      <w:pPr>
        <w:spacing w:line="240" w:lineRule="auto"/>
        <w:rPr>
          <w:b/>
          <w:lang w:val="en-US"/>
        </w:rPr>
      </w:pPr>
    </w:p>
    <w:p w:rsidR="00B07C8A" w:rsidRDefault="00B07C8A" w:rsidP="0042057C">
      <w:pPr>
        <w:spacing w:line="240" w:lineRule="auto"/>
        <w:rPr>
          <w:b/>
        </w:rPr>
      </w:pPr>
      <w:r w:rsidRPr="00715294">
        <w:rPr>
          <w:b/>
        </w:rPr>
        <w:lastRenderedPageBreak/>
        <w:t>Introdução</w:t>
      </w:r>
    </w:p>
    <w:p w:rsidR="00B07C8A" w:rsidRPr="00FB3040" w:rsidRDefault="00B07C8A" w:rsidP="00B07C8A">
      <w:pPr>
        <w:tabs>
          <w:tab w:val="left" w:pos="709"/>
        </w:tabs>
        <w:spacing w:line="360" w:lineRule="auto"/>
        <w:rPr>
          <w:b/>
        </w:rPr>
      </w:pPr>
      <w:r>
        <w:rPr>
          <w:b/>
        </w:rPr>
        <w:tab/>
      </w:r>
      <w:r w:rsidRPr="005F4DB5">
        <w:t>A cana-de-aç</w:t>
      </w:r>
      <w:r w:rsidRPr="00D6670E">
        <w:t>úcar (</w:t>
      </w:r>
      <w:proofErr w:type="spellStart"/>
      <w:r w:rsidRPr="00D6670E">
        <w:rPr>
          <w:i/>
        </w:rPr>
        <w:t>Saccharum</w:t>
      </w:r>
      <w:proofErr w:type="spellEnd"/>
      <w:r w:rsidRPr="00D6670E">
        <w:rPr>
          <w:i/>
        </w:rPr>
        <w:t xml:space="preserve"> </w:t>
      </w:r>
      <w:r w:rsidRPr="004863DD">
        <w:t>spp.</w:t>
      </w:r>
      <w:r w:rsidRPr="00D6670E">
        <w:t xml:space="preserve">) </w:t>
      </w:r>
      <w:r w:rsidRPr="005F4DB5">
        <w:t xml:space="preserve">é a </w:t>
      </w:r>
      <w:r>
        <w:t>cultura de maior relevância para a produção de biocombustível em</w:t>
      </w:r>
      <w:r w:rsidRPr="00DA071E">
        <w:t xml:space="preserve"> regi</w:t>
      </w:r>
      <w:r>
        <w:t>ões</w:t>
      </w:r>
      <w:r w:rsidRPr="00D6670E">
        <w:t xml:space="preserve"> tropicais e subtropicais</w:t>
      </w:r>
      <w:r>
        <w:t xml:space="preserve"> devido à elevada eficiência de conversão de energia solar em biomassa (</w:t>
      </w:r>
      <w:proofErr w:type="spellStart"/>
      <w:r w:rsidR="007A74F4" w:rsidRPr="00031E4B">
        <w:t>Waclawovsky</w:t>
      </w:r>
      <w:proofErr w:type="spellEnd"/>
      <w:r w:rsidR="001F4B38">
        <w:t xml:space="preserve"> et al.</w:t>
      </w:r>
      <w:r w:rsidR="007A74F4">
        <w:t>,</w:t>
      </w:r>
      <w:r w:rsidR="007A74F4" w:rsidRPr="00031E4B">
        <w:t xml:space="preserve"> 2010</w:t>
      </w:r>
      <w:r w:rsidR="007A74F4">
        <w:t xml:space="preserve">; </w:t>
      </w:r>
      <w:proofErr w:type="spellStart"/>
      <w:r w:rsidRPr="00DE3A1F">
        <w:t>Snyman</w:t>
      </w:r>
      <w:proofErr w:type="spellEnd"/>
      <w:r w:rsidRPr="00DE3A1F">
        <w:t xml:space="preserve"> et al., 2011</w:t>
      </w:r>
      <w:r>
        <w:t>)</w:t>
      </w:r>
      <w:r w:rsidRPr="000C1F1B">
        <w:t>.</w:t>
      </w:r>
      <w:r w:rsidRPr="00D6670E">
        <w:t xml:space="preserve"> </w:t>
      </w:r>
      <w:r w:rsidRPr="000C1F1B">
        <w:t xml:space="preserve">Na atualidade, é </w:t>
      </w:r>
      <w:r>
        <w:t xml:space="preserve">também </w:t>
      </w:r>
      <w:r w:rsidRPr="000C1F1B">
        <w:t xml:space="preserve">a principal fonte (80%) de açúcar, </w:t>
      </w:r>
      <w:r w:rsidRPr="00511B1B">
        <w:t>sendo ai</w:t>
      </w:r>
      <w:r>
        <w:t xml:space="preserve">nda </w:t>
      </w:r>
      <w:r w:rsidRPr="00D6670E">
        <w:t xml:space="preserve">utilizada para alimentação animal </w:t>
      </w:r>
      <w:r w:rsidRPr="000C1F1B">
        <w:t>(</w:t>
      </w:r>
      <w:proofErr w:type="spellStart"/>
      <w:r w:rsidRPr="00D6670E">
        <w:t>Snyman</w:t>
      </w:r>
      <w:proofErr w:type="spellEnd"/>
      <w:r w:rsidRPr="00D6670E">
        <w:t xml:space="preserve"> et al., 2011). Devido </w:t>
      </w:r>
      <w:r>
        <w:t>às características biológicas e ampla utilização</w:t>
      </w:r>
      <w:r w:rsidR="00E23055">
        <w:t xml:space="preserve"> (</w:t>
      </w:r>
      <w:proofErr w:type="spellStart"/>
      <w:r w:rsidR="007A74F4" w:rsidRPr="00E23055">
        <w:t>Waclawovsky</w:t>
      </w:r>
      <w:proofErr w:type="spellEnd"/>
      <w:r w:rsidR="007A74F4" w:rsidRPr="00E23055">
        <w:t xml:space="preserve"> et al., 2010</w:t>
      </w:r>
      <w:r w:rsidR="007A74F4">
        <w:t xml:space="preserve">; </w:t>
      </w:r>
      <w:proofErr w:type="spellStart"/>
      <w:r w:rsidR="00E23055" w:rsidRPr="00E23055">
        <w:t>Snyman</w:t>
      </w:r>
      <w:proofErr w:type="spellEnd"/>
      <w:r w:rsidR="00E23055" w:rsidRPr="00E23055">
        <w:t xml:space="preserve"> et al., </w:t>
      </w:r>
      <w:r w:rsidR="007A74F4">
        <w:t>2011</w:t>
      </w:r>
      <w:r w:rsidR="00E23055" w:rsidRPr="00E23055">
        <w:t>)</w:t>
      </w:r>
      <w:r w:rsidR="001F4B38">
        <w:t xml:space="preserve"> </w:t>
      </w:r>
      <w:r w:rsidRPr="00D6670E">
        <w:t>tornou</w:t>
      </w:r>
      <w:r w:rsidR="00E23055">
        <w:t>-se a cultur</w:t>
      </w:r>
      <w:r w:rsidR="001F4B38">
        <w:t>a vegetal mais produzida no mundo</w:t>
      </w:r>
      <w:r w:rsidR="00E23055">
        <w:t xml:space="preserve"> de acordo com a </w:t>
      </w:r>
      <w:r w:rsidR="00FD7FBE" w:rsidRPr="00FD7FBE">
        <w:t>Organização das Nações Unidas para Alimentação e Agricultura</w:t>
      </w:r>
      <w:r w:rsidR="00FD7FBE">
        <w:t xml:space="preserve"> (</w:t>
      </w:r>
      <w:r w:rsidR="00E23055">
        <w:t>FAO, 2016</w:t>
      </w:r>
      <w:r w:rsidR="00FD7FBE">
        <w:t>)</w:t>
      </w:r>
      <w:r>
        <w:t xml:space="preserve">. Dentre os países produtores, </w:t>
      </w:r>
      <w:r w:rsidRPr="005F4DB5">
        <w:t xml:space="preserve">Brasil, China e </w:t>
      </w:r>
      <w:r>
        <w:t>Í</w:t>
      </w:r>
      <w:r w:rsidRPr="00D6670E">
        <w:t>ndia</w:t>
      </w:r>
      <w:r w:rsidR="001F4B38">
        <w:t>,</w:t>
      </w:r>
      <w:r w:rsidRPr="00D6670E">
        <w:t xml:space="preserve"> </w:t>
      </w:r>
      <w:r>
        <w:t xml:space="preserve">destacam-se e, em conjunto, são responsáveis por mais de </w:t>
      </w:r>
      <w:r w:rsidRPr="00D6670E">
        <w:t xml:space="preserve">65% </w:t>
      </w:r>
      <w:r>
        <w:t xml:space="preserve">dos 1.842.266.284 </w:t>
      </w:r>
      <w:r w:rsidR="005C4E50">
        <w:t xml:space="preserve">milhões de </w:t>
      </w:r>
      <w:r w:rsidR="001F4B38">
        <w:t>toneladas</w:t>
      </w:r>
      <w:r>
        <w:t xml:space="preserve"> de cana-de-açúcar produzidos </w:t>
      </w:r>
      <w:r w:rsidR="00E23055">
        <w:t>(FAO, 2016</w:t>
      </w:r>
      <w:r w:rsidRPr="00D6670E">
        <w:t>).</w:t>
      </w:r>
      <w:r>
        <w:t xml:space="preserve"> </w:t>
      </w:r>
    </w:p>
    <w:p w:rsidR="00B07C8A" w:rsidRDefault="00B07C8A" w:rsidP="00B07C8A">
      <w:pPr>
        <w:spacing w:line="360" w:lineRule="auto"/>
      </w:pPr>
      <w:r>
        <w:tab/>
        <w:t>No Brasil, a cana</w:t>
      </w:r>
      <w:r w:rsidR="001F4B38">
        <w:t>-</w:t>
      </w:r>
      <w:r>
        <w:t>de</w:t>
      </w:r>
      <w:r w:rsidR="001F4B38">
        <w:t>-</w:t>
      </w:r>
      <w:r>
        <w:t>açúcar foi introduzida durante o período colonial no século XVI e representa hoje uma das principais culturas da economia brasileira (Machado, 2003). Entretanto, a grande expansão de seu cultivo no país ocorreu a partir da criação do Programa Nacional do Álcool - Proálcool, em novembro de 1975</w:t>
      </w:r>
      <w:r w:rsidR="00175152">
        <w:t>,</w:t>
      </w:r>
      <w:r>
        <w:t xml:space="preserve"> </w:t>
      </w:r>
      <w:r w:rsidR="00175152">
        <w:t xml:space="preserve">que foi implantado para </w:t>
      </w:r>
      <w:r>
        <w:t>atender às necessidades dos mercados interno e externo e à política de combustíveis automotivos</w:t>
      </w:r>
      <w:r w:rsidR="00175152">
        <w:t xml:space="preserve"> (Gordinho, 2010).</w:t>
      </w:r>
      <w:r>
        <w:t xml:space="preserve"> </w:t>
      </w:r>
      <w:r w:rsidR="00175152">
        <w:t>O</w:t>
      </w:r>
      <w:r>
        <w:t xml:space="preserve"> Proálcool incentivou a produção do </w:t>
      </w:r>
      <w:r w:rsidR="001F4B38">
        <w:t>etanol</w:t>
      </w:r>
      <w:r>
        <w:t xml:space="preserve"> principalmente pelo aumento da produção agrícola, pela modernização e ampliação de destilarias já existentes e pela instalação de novas unidades produtoras, armazenadoras e distribuidoras (Gordinho, 2010).</w:t>
      </w:r>
    </w:p>
    <w:p w:rsidR="00B07C8A" w:rsidRDefault="00B07C8A" w:rsidP="00B07C8A">
      <w:pPr>
        <w:spacing w:line="360" w:lineRule="auto"/>
      </w:pPr>
      <w:r>
        <w:tab/>
      </w:r>
      <w:r w:rsidRPr="009235B6">
        <w:t>A partir de então</w:t>
      </w:r>
      <w:r>
        <w:t>,</w:t>
      </w:r>
      <w:r w:rsidRPr="009235B6">
        <w:t xml:space="preserve"> a produção de cana</w:t>
      </w:r>
      <w:r w:rsidR="001F4B38">
        <w:t>-</w:t>
      </w:r>
      <w:r w:rsidRPr="009235B6">
        <w:t>de</w:t>
      </w:r>
      <w:r w:rsidR="001F4B38">
        <w:t>-</w:t>
      </w:r>
      <w:r w:rsidRPr="009235B6">
        <w:t xml:space="preserve">açúcar cresceu de forma acelerada no </w:t>
      </w:r>
      <w:r>
        <w:t>Brasil, evoluindo de cerca de 100 milhões de toneladas por ano, em 1975, para aproximadamente 220 milhõ</w:t>
      </w:r>
      <w:r w:rsidR="00FD7FBE">
        <w:t>es de t</w:t>
      </w:r>
      <w:r w:rsidR="009C3771">
        <w:t xml:space="preserve">oneladas ao ano em 1987 </w:t>
      </w:r>
      <w:r w:rsidR="00AF572B">
        <w:t>(</w:t>
      </w:r>
      <w:proofErr w:type="spellStart"/>
      <w:r>
        <w:t>N</w:t>
      </w:r>
      <w:r w:rsidR="00AF572B">
        <w:t>ovacana</w:t>
      </w:r>
      <w:proofErr w:type="spellEnd"/>
      <w:r>
        <w:t xml:space="preserve">, 2013). Em 2003, com o sucesso dos veículos </w:t>
      </w:r>
      <w:r w:rsidR="009C3771">
        <w:t>"</w:t>
      </w:r>
      <w:proofErr w:type="spellStart"/>
      <w:r w:rsidRPr="009C3771">
        <w:t>flex</w:t>
      </w:r>
      <w:proofErr w:type="spellEnd"/>
      <w:r w:rsidRPr="009C3771">
        <w:t xml:space="preserve"> </w:t>
      </w:r>
      <w:proofErr w:type="spellStart"/>
      <w:r w:rsidRPr="009C3771">
        <w:t>fuel</w:t>
      </w:r>
      <w:proofErr w:type="spellEnd"/>
      <w:r w:rsidR="009C3771">
        <w:t>"</w:t>
      </w:r>
      <w:r>
        <w:t xml:space="preserve"> lançados no mercado inte</w:t>
      </w:r>
      <w:r w:rsidR="009C3771">
        <w:t xml:space="preserve">rno, a produção de cana teve </w:t>
      </w:r>
      <w:r>
        <w:t>novo crescimento acelerado, chegando ao patamar de aproximadamente 520 milhões de toneladas por ano em 2007 (</w:t>
      </w:r>
      <w:proofErr w:type="spellStart"/>
      <w:r>
        <w:t>N</w:t>
      </w:r>
      <w:r w:rsidR="00AF572B">
        <w:t>ovacana</w:t>
      </w:r>
      <w:proofErr w:type="spellEnd"/>
      <w:r>
        <w:t>, 2013).</w:t>
      </w:r>
    </w:p>
    <w:p w:rsidR="00B07C8A" w:rsidRDefault="00B07C8A" w:rsidP="00B07C8A">
      <w:pPr>
        <w:spacing w:line="360" w:lineRule="auto"/>
        <w:rPr>
          <w:color w:val="000000"/>
          <w:shd w:val="clear" w:color="auto" w:fill="FFFFFF"/>
        </w:rPr>
      </w:pPr>
      <w:r>
        <w:tab/>
        <w:t xml:space="preserve">No entanto, desde 2007 o setor </w:t>
      </w:r>
      <w:proofErr w:type="spellStart"/>
      <w:r>
        <w:t>s</w:t>
      </w:r>
      <w:r w:rsidRPr="008D5CB7">
        <w:t>ucroenergético</w:t>
      </w:r>
      <w:proofErr w:type="spellEnd"/>
      <w:r>
        <w:t xml:space="preserve"> </w:t>
      </w:r>
      <w:r w:rsidRPr="008D5CB7">
        <w:t>enfrenta uma</w:t>
      </w:r>
      <w:r>
        <w:t xml:space="preserve"> das maiores crises da história,</w:t>
      </w:r>
      <w:r w:rsidR="009C3771">
        <w:t xml:space="preserve"> </w:t>
      </w:r>
      <w:r>
        <w:t>que resultou na desativação de dezenas de usinas na Região Centro-Sul do país, sendo ainda que outras várias estão em recuperação judicial ou enfrentando endividamentos cada vez maiores</w:t>
      </w:r>
      <w:r w:rsidRPr="000664EA">
        <w:t xml:space="preserve"> </w:t>
      </w:r>
      <w:r>
        <w:t>(Borda et al., 2014). O posicionamento do governo federal e as políticas adotadas para os combustíveis no país têm eliminado a competitividade do etanol hidratado e impedido o desenvolvimento e expansão do setor (Borda et al., 2014). Somado a este panorama, os fornecedores de cana enfrentar</w:t>
      </w:r>
      <w:r w:rsidR="00AF572B">
        <w:t xml:space="preserve">am, em 2014, forte estiagem </w:t>
      </w:r>
      <w:r>
        <w:t xml:space="preserve">que reduziu de </w:t>
      </w:r>
      <w:r w:rsidRPr="000E0A76">
        <w:rPr>
          <w:color w:val="000000"/>
          <w:shd w:val="clear" w:color="auto" w:fill="FFFFFF"/>
        </w:rPr>
        <w:t>7,8%</w:t>
      </w:r>
      <w:r>
        <w:rPr>
          <w:color w:val="000000"/>
          <w:shd w:val="clear" w:color="auto" w:fill="FFFFFF"/>
        </w:rPr>
        <w:t xml:space="preserve"> a 12% </w:t>
      </w:r>
      <w:r w:rsidRPr="000E0A76">
        <w:rPr>
          <w:color w:val="000000"/>
          <w:shd w:val="clear" w:color="auto" w:fill="FFFFFF"/>
        </w:rPr>
        <w:t xml:space="preserve">a produtividade da </w:t>
      </w:r>
      <w:r w:rsidRPr="000E0A76">
        <w:rPr>
          <w:color w:val="000000"/>
          <w:shd w:val="clear" w:color="auto" w:fill="FFFFFF"/>
        </w:rPr>
        <w:lastRenderedPageBreak/>
        <w:t xml:space="preserve">área colhida até o </w:t>
      </w:r>
      <w:r>
        <w:rPr>
          <w:color w:val="000000"/>
          <w:shd w:val="clear" w:color="auto" w:fill="FFFFFF"/>
        </w:rPr>
        <w:t>f</w:t>
      </w:r>
      <w:r w:rsidRPr="000E0A76">
        <w:rPr>
          <w:color w:val="000000"/>
          <w:shd w:val="clear" w:color="auto" w:fill="FFFFFF"/>
        </w:rPr>
        <w:t>inal de novembro no Centro-sul</w:t>
      </w:r>
      <w:r w:rsidR="00AF572B">
        <w:rPr>
          <w:color w:val="000000"/>
          <w:shd w:val="clear" w:color="auto" w:fill="FFFFFF"/>
        </w:rPr>
        <w:t xml:space="preserve"> do país</w:t>
      </w:r>
      <w:r>
        <w:rPr>
          <w:color w:val="000000"/>
          <w:shd w:val="clear" w:color="auto" w:fill="FFFFFF"/>
        </w:rPr>
        <w:t>,</w:t>
      </w:r>
      <w:r w:rsidRPr="000E0A76">
        <w:rPr>
          <w:color w:val="000000"/>
          <w:shd w:val="clear" w:color="auto" w:fill="FFFFFF"/>
        </w:rPr>
        <w:t xml:space="preserve"> </w:t>
      </w:r>
      <w:r>
        <w:rPr>
          <w:color w:val="000000"/>
          <w:shd w:val="clear" w:color="auto" w:fill="FFFFFF"/>
        </w:rPr>
        <w:t>quando comparada</w:t>
      </w:r>
      <w:r w:rsidRPr="000E0A76">
        <w:rPr>
          <w:color w:val="000000"/>
          <w:shd w:val="clear" w:color="auto" w:fill="FFFFFF"/>
        </w:rPr>
        <w:t xml:space="preserve"> ao mesmo período de </w:t>
      </w:r>
      <w:r w:rsidR="009C3771">
        <w:rPr>
          <w:color w:val="000000"/>
          <w:shd w:val="clear" w:color="auto" w:fill="FFFFFF"/>
        </w:rPr>
        <w:t xml:space="preserve">2013 </w:t>
      </w:r>
      <w:r w:rsidR="00F22DF4">
        <w:rPr>
          <w:color w:val="000000"/>
          <w:shd w:val="clear" w:color="auto" w:fill="FFFFFF"/>
        </w:rPr>
        <w:t>(</w:t>
      </w:r>
      <w:r w:rsidR="009C3771">
        <w:rPr>
          <w:color w:val="000000"/>
          <w:shd w:val="clear" w:color="auto" w:fill="FFFFFF"/>
        </w:rPr>
        <w:t>U</w:t>
      </w:r>
      <w:r w:rsidR="00FD7FBE">
        <w:rPr>
          <w:color w:val="000000"/>
          <w:shd w:val="clear" w:color="auto" w:fill="FFFFFF"/>
        </w:rPr>
        <w:t>NICA</w:t>
      </w:r>
      <w:r>
        <w:rPr>
          <w:color w:val="000000"/>
          <w:shd w:val="clear" w:color="auto" w:fill="FFFFFF"/>
        </w:rPr>
        <w:t>, 2014).</w:t>
      </w:r>
    </w:p>
    <w:p w:rsidR="00C51A85" w:rsidRDefault="00B07C8A" w:rsidP="00C51A85">
      <w:pPr>
        <w:spacing w:line="360" w:lineRule="auto"/>
        <w:rPr>
          <w:shd w:val="clear" w:color="auto" w:fill="FFFFFF"/>
        </w:rPr>
      </w:pPr>
      <w:r>
        <w:rPr>
          <w:color w:val="000000"/>
          <w:shd w:val="clear" w:color="auto" w:fill="FFFFFF"/>
        </w:rPr>
        <w:tab/>
      </w:r>
      <w:r w:rsidR="00C51A85">
        <w:rPr>
          <w:shd w:val="clear" w:color="auto" w:fill="FFFFFF"/>
        </w:rPr>
        <w:t xml:space="preserve">Na região de Chavantes, no </w:t>
      </w:r>
      <w:r w:rsidR="00C51A85" w:rsidRPr="00661D5D">
        <w:rPr>
          <w:shd w:val="clear" w:color="auto" w:fill="FFFFFF"/>
        </w:rPr>
        <w:t>interio</w:t>
      </w:r>
      <w:r w:rsidR="009C3771">
        <w:rPr>
          <w:shd w:val="clear" w:color="auto" w:fill="FFFFFF"/>
        </w:rPr>
        <w:t>r de São Paulo, a situação não foi</w:t>
      </w:r>
      <w:r w:rsidR="00C51A85" w:rsidRPr="00661D5D">
        <w:rPr>
          <w:shd w:val="clear" w:color="auto" w:fill="FFFFFF"/>
        </w:rPr>
        <w:t xml:space="preserve"> diferente, </w:t>
      </w:r>
      <w:r w:rsidR="00C51A85">
        <w:rPr>
          <w:shd w:val="clear" w:color="auto" w:fill="FFFFFF"/>
        </w:rPr>
        <w:t xml:space="preserve">pois </w:t>
      </w:r>
      <w:r w:rsidR="00342510" w:rsidRPr="00661D5D">
        <w:rPr>
          <w:shd w:val="clear" w:color="auto" w:fill="FFFFFF"/>
        </w:rPr>
        <w:t>os fornecedores têm</w:t>
      </w:r>
      <w:r w:rsidR="00C51A85" w:rsidRPr="00661D5D">
        <w:rPr>
          <w:shd w:val="clear" w:color="auto" w:fill="FFFFFF"/>
        </w:rPr>
        <w:t xml:space="preserve"> sofrido fortemente o impacto da crise </w:t>
      </w:r>
      <w:r w:rsidR="00C51A85">
        <w:rPr>
          <w:shd w:val="clear" w:color="auto" w:fill="FFFFFF"/>
        </w:rPr>
        <w:t xml:space="preserve">que afetou o setor, tais como os </w:t>
      </w:r>
      <w:r w:rsidR="00C51A85" w:rsidRPr="00661D5D">
        <w:rPr>
          <w:shd w:val="clear" w:color="auto" w:fill="FFFFFF"/>
        </w:rPr>
        <w:t>altos custo</w:t>
      </w:r>
      <w:r w:rsidR="00C41739">
        <w:rPr>
          <w:shd w:val="clear" w:color="auto" w:fill="FFFFFF"/>
        </w:rPr>
        <w:t>s de produção</w:t>
      </w:r>
      <w:r w:rsidR="00882B6F">
        <w:rPr>
          <w:shd w:val="clear" w:color="auto" w:fill="FFFFFF"/>
        </w:rPr>
        <w:t xml:space="preserve">, aproximadamente R$ 9.000,00 ha </w:t>
      </w:r>
      <w:r w:rsidR="00882B6F" w:rsidRPr="00882B6F">
        <w:rPr>
          <w:shd w:val="clear" w:color="auto" w:fill="FFFFFF"/>
          <w:vertAlign w:val="superscript"/>
        </w:rPr>
        <w:t>-1</w:t>
      </w:r>
      <w:r w:rsidR="00882B6F" w:rsidRPr="00882B6F">
        <w:rPr>
          <w:shd w:val="clear" w:color="auto" w:fill="FFFFFF"/>
        </w:rPr>
        <w:t>, entre plantio e tratos culturais</w:t>
      </w:r>
      <w:r w:rsidR="00C41739">
        <w:rPr>
          <w:shd w:val="clear" w:color="auto" w:fill="FFFFFF"/>
        </w:rPr>
        <w:t xml:space="preserve"> e baixo valor do k</w:t>
      </w:r>
      <w:r w:rsidR="00C51A85" w:rsidRPr="00661D5D">
        <w:rPr>
          <w:shd w:val="clear" w:color="auto" w:fill="FFFFFF"/>
        </w:rPr>
        <w:t xml:space="preserve">g de </w:t>
      </w:r>
      <w:r w:rsidR="00C51A85">
        <w:rPr>
          <w:shd w:val="clear" w:color="auto" w:fill="FFFFFF"/>
        </w:rPr>
        <w:t>açúcares totais recuperáveis [</w:t>
      </w:r>
      <w:r w:rsidR="00C51A85" w:rsidRPr="00661D5D">
        <w:rPr>
          <w:shd w:val="clear" w:color="auto" w:fill="FFFFFF"/>
        </w:rPr>
        <w:t>ATR</w:t>
      </w:r>
      <w:r w:rsidR="00C51A85">
        <w:rPr>
          <w:shd w:val="clear" w:color="auto" w:fill="FFFFFF"/>
        </w:rPr>
        <w:t>],</w:t>
      </w:r>
      <w:r w:rsidR="00882B6F">
        <w:rPr>
          <w:shd w:val="clear" w:color="auto" w:fill="FFFFFF"/>
        </w:rPr>
        <w:t xml:space="preserve"> R$ 0,4763 na Safra 201</w:t>
      </w:r>
      <w:r w:rsidR="00244CFB">
        <w:rPr>
          <w:shd w:val="clear" w:color="auto" w:fill="FFFFFF"/>
        </w:rPr>
        <w:t>4</w:t>
      </w:r>
      <w:r w:rsidR="00882B6F">
        <w:rPr>
          <w:shd w:val="clear" w:color="auto" w:fill="FFFFFF"/>
        </w:rPr>
        <w:t>/201</w:t>
      </w:r>
      <w:r w:rsidR="00244CFB">
        <w:rPr>
          <w:shd w:val="clear" w:color="auto" w:fill="FFFFFF"/>
        </w:rPr>
        <w:t>5</w:t>
      </w:r>
      <w:r w:rsidR="00882B6F">
        <w:rPr>
          <w:shd w:val="clear" w:color="auto" w:fill="FFFFFF"/>
        </w:rPr>
        <w:t>,</w:t>
      </w:r>
      <w:r w:rsidR="00C51A85">
        <w:rPr>
          <w:shd w:val="clear" w:color="auto" w:fill="FFFFFF"/>
        </w:rPr>
        <w:t xml:space="preserve"> que interromperam o </w:t>
      </w:r>
      <w:r w:rsidR="00C51A85" w:rsidRPr="00661D5D">
        <w:rPr>
          <w:shd w:val="clear" w:color="auto" w:fill="FFFFFF"/>
        </w:rPr>
        <w:t xml:space="preserve">funcionamento </w:t>
      </w:r>
      <w:r w:rsidR="00C51A85">
        <w:rPr>
          <w:shd w:val="clear" w:color="auto" w:fill="FFFFFF"/>
        </w:rPr>
        <w:t xml:space="preserve">de </w:t>
      </w:r>
      <w:r w:rsidR="00C51A85" w:rsidRPr="00661D5D">
        <w:rPr>
          <w:shd w:val="clear" w:color="auto" w:fill="FFFFFF"/>
        </w:rPr>
        <w:t xml:space="preserve">várias usinas e destilarias </w:t>
      </w:r>
      <w:r w:rsidR="00C51A85">
        <w:rPr>
          <w:shd w:val="clear" w:color="auto" w:fill="FFFFFF"/>
        </w:rPr>
        <w:t xml:space="preserve">nos últimos anos. </w:t>
      </w:r>
      <w:r w:rsidR="00C51A85" w:rsidRPr="00661D5D">
        <w:rPr>
          <w:shd w:val="clear" w:color="auto" w:fill="FFFFFF"/>
        </w:rPr>
        <w:t xml:space="preserve">Buscando alternativas, </w:t>
      </w:r>
      <w:r w:rsidR="00C51A85">
        <w:rPr>
          <w:shd w:val="clear" w:color="auto" w:fill="FFFFFF"/>
        </w:rPr>
        <w:t>os produtores de cana-de-açúcar</w:t>
      </w:r>
      <w:r w:rsidR="009C3771">
        <w:rPr>
          <w:shd w:val="clear" w:color="auto" w:fill="FFFFFF"/>
        </w:rPr>
        <w:t>,</w:t>
      </w:r>
      <w:r w:rsidR="00C51A85">
        <w:rPr>
          <w:shd w:val="clear" w:color="auto" w:fill="FFFFFF"/>
        </w:rPr>
        <w:t xml:space="preserve"> </w:t>
      </w:r>
      <w:r w:rsidR="00C51A85" w:rsidRPr="00661D5D">
        <w:rPr>
          <w:shd w:val="clear" w:color="auto" w:fill="FFFFFF"/>
        </w:rPr>
        <w:t>principalme</w:t>
      </w:r>
      <w:r w:rsidR="00C51A85">
        <w:rPr>
          <w:shd w:val="clear" w:color="auto" w:fill="FFFFFF"/>
        </w:rPr>
        <w:t>nte os de pequeno e médio porte</w:t>
      </w:r>
      <w:r w:rsidR="00175152">
        <w:rPr>
          <w:shd w:val="clear" w:color="auto" w:fill="FFFFFF"/>
        </w:rPr>
        <w:t>,</w:t>
      </w:r>
      <w:r w:rsidR="00C51A85" w:rsidRPr="00661D5D">
        <w:rPr>
          <w:shd w:val="clear" w:color="auto" w:fill="FFFFFF"/>
        </w:rPr>
        <w:t xml:space="preserve"> têm considerado deixar de fornecer e passar a firmar contrato de arrendamento agrícola com as usinas da região</w:t>
      </w:r>
      <w:r w:rsidR="00C51A85">
        <w:rPr>
          <w:shd w:val="clear" w:color="auto" w:fill="FFFFFF"/>
        </w:rPr>
        <w:t>,</w:t>
      </w:r>
      <w:r w:rsidR="00C51A85" w:rsidRPr="00C51A85">
        <w:rPr>
          <w:color w:val="000000"/>
          <w:shd w:val="clear" w:color="auto" w:fill="FFFFFF"/>
        </w:rPr>
        <w:t xml:space="preserve"> </w:t>
      </w:r>
      <w:r w:rsidR="00C51A85">
        <w:rPr>
          <w:color w:val="000000"/>
          <w:shd w:val="clear" w:color="auto" w:fill="FFFFFF"/>
        </w:rPr>
        <w:t xml:space="preserve">visto que </w:t>
      </w:r>
      <w:r w:rsidR="009C3771">
        <w:rPr>
          <w:color w:val="000000"/>
          <w:shd w:val="clear" w:color="auto" w:fill="FFFFFF"/>
        </w:rPr>
        <w:t>ness</w:t>
      </w:r>
      <w:r w:rsidR="00175152">
        <w:rPr>
          <w:color w:val="000000"/>
          <w:shd w:val="clear" w:color="auto" w:fill="FFFFFF"/>
        </w:rPr>
        <w:t>a modalidade</w:t>
      </w:r>
      <w:r w:rsidR="00C51A85">
        <w:rPr>
          <w:color w:val="000000"/>
          <w:shd w:val="clear" w:color="auto" w:fill="FFFFFF"/>
        </w:rPr>
        <w:t xml:space="preserve"> o proprietário deixa de ter qualquer responsabilidade sobre os eventuais riscos da atividade e recebe um valor fixo e garantido, independentemente dos resultados da </w:t>
      </w:r>
      <w:r w:rsidR="00C51A85" w:rsidRPr="009A45D2">
        <w:rPr>
          <w:color w:val="000000"/>
          <w:shd w:val="clear" w:color="auto" w:fill="FFFFFF"/>
        </w:rPr>
        <w:t xml:space="preserve">colheita </w:t>
      </w:r>
      <w:r w:rsidR="00C51A85" w:rsidRPr="009A45D2">
        <w:t>(FGV, 2014)</w:t>
      </w:r>
      <w:r w:rsidR="00C51A85">
        <w:t>.</w:t>
      </w:r>
    </w:p>
    <w:p w:rsidR="000A62AD" w:rsidRDefault="00C51A85" w:rsidP="00C51A85">
      <w:pPr>
        <w:spacing w:line="360" w:lineRule="auto"/>
        <w:rPr>
          <w:shd w:val="clear" w:color="auto" w:fill="FFFFFF"/>
        </w:rPr>
      </w:pPr>
      <w:r>
        <w:rPr>
          <w:shd w:val="clear" w:color="auto" w:fill="FFFFFF"/>
        </w:rPr>
        <w:tab/>
      </w:r>
      <w:r w:rsidRPr="00661D5D">
        <w:rPr>
          <w:shd w:val="clear" w:color="auto" w:fill="FFFFFF"/>
        </w:rPr>
        <w:t xml:space="preserve">Entretanto, para eventual mudança no sistema de exploração da cana-de-açúcar, cabe ao fornecedor analisar a rentabilidade das opções, considerando os investimentos, os riscos e valor da terra. </w:t>
      </w:r>
      <w:r>
        <w:rPr>
          <w:shd w:val="clear" w:color="auto" w:fill="FFFFFF"/>
        </w:rPr>
        <w:t>Deste modo, o</w:t>
      </w:r>
      <w:r w:rsidRPr="00661D5D">
        <w:rPr>
          <w:shd w:val="clear" w:color="auto" w:fill="FFFFFF"/>
        </w:rPr>
        <w:t xml:space="preserve"> objetivo deste estudo </w:t>
      </w:r>
      <w:r w:rsidR="009C3771">
        <w:rPr>
          <w:shd w:val="clear" w:color="auto" w:fill="FFFFFF"/>
        </w:rPr>
        <w:t>foi</w:t>
      </w:r>
      <w:r w:rsidRPr="00661D5D">
        <w:rPr>
          <w:shd w:val="clear" w:color="auto" w:fill="FFFFFF"/>
        </w:rPr>
        <w:t xml:space="preserve"> realizar a análise comparativa </w:t>
      </w:r>
      <w:r w:rsidR="009C3771">
        <w:rPr>
          <w:shd w:val="clear" w:color="auto" w:fill="FFFFFF"/>
        </w:rPr>
        <w:t>da rentabilidade da produção de cana nas modalidades de fornecimento e arrendamento, na região de Chavantes/SP</w:t>
      </w:r>
      <w:r w:rsidRPr="00661D5D">
        <w:rPr>
          <w:shd w:val="clear" w:color="auto" w:fill="FFFFFF"/>
        </w:rPr>
        <w:t>, visando auxiliar o proprietário da terra na tomada de decisão</w:t>
      </w:r>
      <w:r>
        <w:rPr>
          <w:shd w:val="clear" w:color="auto" w:fill="FFFFFF"/>
        </w:rPr>
        <w:t>.</w:t>
      </w:r>
      <w:r w:rsidR="000A62AD" w:rsidRPr="00661D5D">
        <w:rPr>
          <w:shd w:val="clear" w:color="auto" w:fill="FFFFFF"/>
        </w:rPr>
        <w:t xml:space="preserve"> </w:t>
      </w:r>
    </w:p>
    <w:p w:rsidR="004863DD" w:rsidRPr="00661D5D" w:rsidRDefault="004863DD" w:rsidP="00B07C8A">
      <w:pPr>
        <w:spacing w:line="360" w:lineRule="auto"/>
        <w:rPr>
          <w:shd w:val="clear" w:color="auto" w:fill="FFFFFF"/>
        </w:rPr>
      </w:pPr>
    </w:p>
    <w:p w:rsidR="00B07C8A" w:rsidRDefault="00B07C8A" w:rsidP="00B07C8A">
      <w:pPr>
        <w:spacing w:line="360" w:lineRule="auto"/>
        <w:rPr>
          <w:b/>
        </w:rPr>
      </w:pPr>
      <w:r w:rsidRPr="00661D5D">
        <w:rPr>
          <w:b/>
        </w:rPr>
        <w:t>Material e Métodos</w:t>
      </w:r>
    </w:p>
    <w:p w:rsidR="00024D6C" w:rsidRPr="00661D5D" w:rsidRDefault="00B07C8A" w:rsidP="00603F98">
      <w:pPr>
        <w:spacing w:line="360" w:lineRule="auto"/>
      </w:pPr>
      <w:r w:rsidRPr="00661D5D">
        <w:tab/>
        <w:t>Para realizar a análise comparativa da rentabilidade entre o</w:t>
      </w:r>
      <w:r w:rsidR="009C3771">
        <w:t>s sistemas de fornecimento e arrendamento</w:t>
      </w:r>
      <w:r w:rsidRPr="00661D5D">
        <w:t>, foram utilizados dados obtidos de uma associação de plantadores e fornecedores de cana localizada em Chavantes, região centro-oeste do estado de São Paulo, com base em seus associados e nas usinas da região.</w:t>
      </w:r>
    </w:p>
    <w:p w:rsidR="00B07C8A" w:rsidRDefault="00E86182" w:rsidP="00B07C8A">
      <w:pPr>
        <w:spacing w:line="360" w:lineRule="auto"/>
        <w:ind w:firstLine="708"/>
      </w:pPr>
      <w:r>
        <w:t>Os</w:t>
      </w:r>
      <w:r w:rsidR="00B07C8A" w:rsidRPr="00661D5D">
        <w:t xml:space="preserve"> associados </w:t>
      </w:r>
      <w:r>
        <w:t>eram</w:t>
      </w:r>
      <w:r w:rsidR="00B07C8A" w:rsidRPr="00661D5D">
        <w:t xml:space="preserve"> produtores de pequeno a médio port</w:t>
      </w:r>
      <w:r w:rsidR="00C51A85">
        <w:t>e, proprietários de áreas com</w:t>
      </w:r>
      <w:r>
        <w:t xml:space="preserve"> </w:t>
      </w:r>
      <w:r w:rsidR="00C51A85">
        <w:t>100</w:t>
      </w:r>
      <w:r w:rsidR="00B07C8A" w:rsidRPr="00661D5D">
        <w:t xml:space="preserve"> </w:t>
      </w:r>
      <w:r w:rsidR="008B7756">
        <w:t>ha</w:t>
      </w:r>
      <w:r>
        <w:t>, em média,</w:t>
      </w:r>
      <w:r w:rsidR="009C3771">
        <w:t xml:space="preserve"> </w:t>
      </w:r>
      <w:r w:rsidR="00C51A85">
        <w:t>e que estão localizadas a um raio</w:t>
      </w:r>
      <w:r w:rsidR="00B07C8A" w:rsidRPr="00661D5D">
        <w:t xml:space="preserve"> de 25 km de distância das unidades industriais. Deste modo, para os cálculos de rentabilidade, foram utilizados </w:t>
      </w:r>
      <w:r w:rsidR="009C3771">
        <w:t>essa área da</w:t>
      </w:r>
      <w:r w:rsidR="00B07C8A" w:rsidRPr="00661D5D">
        <w:t xml:space="preserve"> propriedade e distância para o transporte da cana-de-açúcar. </w:t>
      </w:r>
    </w:p>
    <w:p w:rsidR="00E86182" w:rsidRDefault="00E86182" w:rsidP="00B07C8A">
      <w:pPr>
        <w:spacing w:line="360" w:lineRule="auto"/>
        <w:ind w:firstLine="708"/>
      </w:pPr>
      <w:r>
        <w:t>Na última etapa, foi feita a análise de sensibilidade considerando cenários mais otimistas que o atual, onde</w:t>
      </w:r>
      <w:r w:rsidRPr="00E86182">
        <w:t xml:space="preserve"> </w:t>
      </w:r>
      <w:r>
        <w:t>foram alteradas</w:t>
      </w:r>
      <w:r w:rsidRPr="00E86182">
        <w:t xml:space="preserve"> variáveis como valor da tonelada ou quantia </w:t>
      </w:r>
      <w:r>
        <w:t>paga, em</w:t>
      </w:r>
      <w:r w:rsidRPr="00E86182">
        <w:t xml:space="preserve"> t ha</w:t>
      </w:r>
      <w:r w:rsidRPr="00603F98">
        <w:rPr>
          <w:vertAlign w:val="superscript"/>
        </w:rPr>
        <w:t>-1</w:t>
      </w:r>
      <w:r>
        <w:t>, n</w:t>
      </w:r>
      <w:r w:rsidRPr="00E86182">
        <w:t>o arrendamento.</w:t>
      </w:r>
      <w:r>
        <w:t xml:space="preserve"> </w:t>
      </w:r>
    </w:p>
    <w:p w:rsidR="00B07C8A" w:rsidRDefault="00B07C8A" w:rsidP="00B07C8A">
      <w:pPr>
        <w:spacing w:line="360" w:lineRule="auto"/>
      </w:pPr>
    </w:p>
    <w:p w:rsidR="004B1477" w:rsidRDefault="004B1477" w:rsidP="00B07C8A">
      <w:pPr>
        <w:spacing w:line="360" w:lineRule="auto"/>
      </w:pPr>
    </w:p>
    <w:p w:rsidR="004B1477" w:rsidRDefault="004B1477" w:rsidP="00B07C8A">
      <w:pPr>
        <w:spacing w:line="360" w:lineRule="auto"/>
      </w:pPr>
    </w:p>
    <w:p w:rsidR="004B1477" w:rsidRDefault="004B1477" w:rsidP="00B07C8A">
      <w:pPr>
        <w:spacing w:line="360" w:lineRule="auto"/>
      </w:pPr>
    </w:p>
    <w:p w:rsidR="008B7756" w:rsidRDefault="00B07C8A" w:rsidP="00AC004F">
      <w:pPr>
        <w:spacing w:line="360" w:lineRule="auto"/>
        <w:ind w:firstLine="708"/>
        <w:rPr>
          <w:b/>
        </w:rPr>
      </w:pPr>
      <w:r w:rsidRPr="00526665">
        <w:rPr>
          <w:b/>
        </w:rPr>
        <w:t>Sistemas de produção</w:t>
      </w:r>
    </w:p>
    <w:p w:rsidR="008B7756" w:rsidRDefault="00B07C8A" w:rsidP="00AC004F">
      <w:pPr>
        <w:spacing w:line="360" w:lineRule="auto"/>
        <w:ind w:firstLine="708"/>
        <w:rPr>
          <w:b/>
        </w:rPr>
      </w:pPr>
      <w:r w:rsidRPr="00526665">
        <w:rPr>
          <w:b/>
        </w:rPr>
        <w:t>Arrendamento</w:t>
      </w:r>
    </w:p>
    <w:p w:rsidR="00B07C8A" w:rsidRPr="00661D5D" w:rsidRDefault="00FD39F3" w:rsidP="00B07C8A">
      <w:pPr>
        <w:spacing w:line="360" w:lineRule="auto"/>
      </w:pPr>
      <w:r>
        <w:tab/>
      </w:r>
      <w:r w:rsidR="009C3771">
        <w:t>Na modalidade de contrato de arrendamento</w:t>
      </w:r>
      <w:r w:rsidR="00B07C8A" w:rsidRPr="00661D5D">
        <w:t>, o proprietário ou arrendador se obriga a ceder ao arrendatário o uso do imóvel rural para exercício da atividade agrícola, não tendo nenhuma participação ou ônus nos custos de produção, despesas ou prejuízos decorrentes da atividade (Brasil, 1996).</w:t>
      </w:r>
    </w:p>
    <w:p w:rsidR="00B524B0" w:rsidRDefault="00B07C8A" w:rsidP="00B07C8A">
      <w:pPr>
        <w:spacing w:line="360" w:lineRule="auto"/>
      </w:pPr>
      <w:r w:rsidRPr="00661D5D">
        <w:tab/>
        <w:t>O pagamento ao arrendador é estabelecido a partir de uma quantidade fixa de toneladas por alqueire</w:t>
      </w:r>
      <w:r w:rsidR="00B524B0">
        <w:t xml:space="preserve"> (</w:t>
      </w:r>
      <w:r w:rsidRPr="00661D5D">
        <w:t>2,42 hectares</w:t>
      </w:r>
      <w:r w:rsidR="00B524B0">
        <w:t>)</w:t>
      </w:r>
      <w:r w:rsidR="00024D6C">
        <w:t xml:space="preserve"> e de um valor padrão de k</w:t>
      </w:r>
      <w:r w:rsidR="00C41739">
        <w:t>g de a</w:t>
      </w:r>
      <w:r w:rsidRPr="00661D5D">
        <w:t>çúcar</w:t>
      </w:r>
      <w:r w:rsidR="00C41739">
        <w:t>es totais recuperáveis</w:t>
      </w:r>
      <w:r w:rsidRPr="00661D5D">
        <w:t xml:space="preserve"> - ATR</w:t>
      </w:r>
      <w:r w:rsidR="00795319">
        <w:t>.</w:t>
      </w:r>
      <w:r w:rsidR="00C41739">
        <w:t xml:space="preserve"> </w:t>
      </w:r>
      <w:r w:rsidR="00B524B0" w:rsidRPr="00661D5D">
        <w:t>N</w:t>
      </w:r>
      <w:r w:rsidR="00B524B0">
        <w:t>o estudo</w:t>
      </w:r>
      <w:r w:rsidR="00B524B0" w:rsidRPr="00661D5D">
        <w:t xml:space="preserve">, </w:t>
      </w:r>
      <w:r w:rsidR="00B524B0">
        <w:t xml:space="preserve">foram utilizados </w:t>
      </w:r>
      <w:r w:rsidR="00B524B0" w:rsidRPr="00661D5D">
        <w:t xml:space="preserve">os valores geralmente </w:t>
      </w:r>
      <w:r w:rsidR="00B524B0">
        <w:t>adotados</w:t>
      </w:r>
      <w:r w:rsidR="00B524B0" w:rsidRPr="00661D5D">
        <w:t xml:space="preserve"> em contratos de arrendamento </w:t>
      </w:r>
      <w:r w:rsidR="00B524B0">
        <w:t xml:space="preserve">na região, sendo </w:t>
      </w:r>
      <w:r w:rsidR="00B524B0">
        <w:t xml:space="preserve">15,7 t </w:t>
      </w:r>
      <w:r w:rsidR="00B524B0" w:rsidRPr="00661D5D">
        <w:t>ha</w:t>
      </w:r>
      <w:r w:rsidR="00B524B0" w:rsidRPr="00526665">
        <w:rPr>
          <w:vertAlign w:val="superscript"/>
        </w:rPr>
        <w:t>-</w:t>
      </w:r>
      <w:r w:rsidR="00B524B0" w:rsidRPr="00526665">
        <w:t>¹</w:t>
      </w:r>
      <w:r w:rsidR="00561271">
        <w:t xml:space="preserve"> </w:t>
      </w:r>
      <w:r w:rsidR="00B524B0">
        <w:t xml:space="preserve">para a </w:t>
      </w:r>
      <w:r w:rsidR="00B524B0" w:rsidRPr="00B524B0">
        <w:t xml:space="preserve">quantidade fixa </w:t>
      </w:r>
      <w:r w:rsidR="00B524B0" w:rsidRPr="00661D5D">
        <w:t xml:space="preserve">e </w:t>
      </w:r>
      <w:r w:rsidR="00B524B0" w:rsidRPr="00661D5D">
        <w:t>118,58 kg</w:t>
      </w:r>
      <w:r w:rsidR="00B524B0" w:rsidRPr="00661D5D">
        <w:t xml:space="preserve"> </w:t>
      </w:r>
      <w:r w:rsidR="00B524B0">
        <w:t xml:space="preserve">como preço de </w:t>
      </w:r>
      <w:r w:rsidR="00B524B0" w:rsidRPr="00661D5D">
        <w:t xml:space="preserve">ATR padrão. </w:t>
      </w:r>
    </w:p>
    <w:p w:rsidR="00B07C8A" w:rsidRPr="00661D5D" w:rsidRDefault="00B524B0" w:rsidP="00426CC3">
      <w:pPr>
        <w:spacing w:line="360" w:lineRule="auto"/>
      </w:pPr>
      <w:r>
        <w:tab/>
      </w:r>
      <w:r w:rsidR="00561271">
        <w:t xml:space="preserve">Notamos que, </w:t>
      </w:r>
      <w:r>
        <w:t>nestes contratos,</w:t>
      </w:r>
      <w:r w:rsidR="00561271">
        <w:t xml:space="preserve"> tais </w:t>
      </w:r>
      <w:r>
        <w:t>valores pagos</w:t>
      </w:r>
      <w:r w:rsidR="00561271">
        <w:t xml:space="preserve"> </w:t>
      </w:r>
      <w:r>
        <w:t>foram inferiores ao</w:t>
      </w:r>
      <w:r w:rsidR="00561271">
        <w:t>s</w:t>
      </w:r>
      <w:r>
        <w:t xml:space="preserve"> praticado</w:t>
      </w:r>
      <w:r w:rsidR="00561271">
        <w:t>s</w:t>
      </w:r>
      <w:r>
        <w:t xml:space="preserve"> no Estado de S</w:t>
      </w:r>
      <w:r w:rsidR="00561271">
        <w:t xml:space="preserve">ão Paulo, aonde o preço da </w:t>
      </w:r>
      <w:r w:rsidR="00B07C8A" w:rsidRPr="005C4E50">
        <w:t xml:space="preserve">quantidade fixa </w:t>
      </w:r>
      <w:r w:rsidR="00561271">
        <w:t>e de ATR padrão foram</w:t>
      </w:r>
      <w:r w:rsidR="00426CC3">
        <w:t>, em média,</w:t>
      </w:r>
      <w:r w:rsidR="00561271">
        <w:t xml:space="preserve"> </w:t>
      </w:r>
      <w:r w:rsidR="00687EB9" w:rsidRPr="005C4E50">
        <w:t xml:space="preserve">18,8 t </w:t>
      </w:r>
      <w:r w:rsidR="00B07C8A" w:rsidRPr="005C4E50">
        <w:t>ha</w:t>
      </w:r>
      <w:r w:rsidR="00687EB9" w:rsidRPr="005C4E50">
        <w:rPr>
          <w:vertAlign w:val="superscript"/>
        </w:rPr>
        <w:t>-</w:t>
      </w:r>
      <w:r w:rsidR="00687EB9" w:rsidRPr="005C4E50">
        <w:t>¹</w:t>
      </w:r>
      <w:r w:rsidR="00B07C8A" w:rsidRPr="005C4E50">
        <w:t xml:space="preserve"> </w:t>
      </w:r>
      <w:r w:rsidR="00561271">
        <w:t xml:space="preserve">e </w:t>
      </w:r>
      <w:r w:rsidR="005C4E50">
        <w:t>121,97 k</w:t>
      </w:r>
      <w:r w:rsidR="00B07C8A" w:rsidRPr="00661D5D">
        <w:t>g</w:t>
      </w:r>
      <w:r w:rsidR="00687EB9">
        <w:t xml:space="preserve"> </w:t>
      </w:r>
      <w:r w:rsidR="00B07C8A" w:rsidRPr="00661D5D">
        <w:t>t</w:t>
      </w:r>
      <w:r w:rsidR="00687EB9" w:rsidRPr="00687EB9">
        <w:rPr>
          <w:vertAlign w:val="superscript"/>
        </w:rPr>
        <w:t>-</w:t>
      </w:r>
      <w:r w:rsidR="00687EB9" w:rsidRPr="00687EB9">
        <w:t>¹</w:t>
      </w:r>
      <w:r w:rsidR="00561271">
        <w:t>, respectivamente</w:t>
      </w:r>
      <w:r w:rsidR="00561271" w:rsidRPr="00561271">
        <w:t xml:space="preserve"> (</w:t>
      </w:r>
      <w:r w:rsidR="00561271" w:rsidRPr="00661D5D">
        <w:t>CNA, 2007</w:t>
      </w:r>
      <w:r w:rsidR="00561271">
        <w:t xml:space="preserve">; </w:t>
      </w:r>
      <w:r w:rsidR="00561271" w:rsidRPr="00561271">
        <w:t>IEA, 2012</w:t>
      </w:r>
      <w:r w:rsidR="00B07C8A" w:rsidRPr="00661D5D">
        <w:t>).</w:t>
      </w:r>
      <w:r w:rsidR="00561271">
        <w:t xml:space="preserve"> Os contratos, em geral, possuíam </w:t>
      </w:r>
      <w:r w:rsidR="00561271" w:rsidRPr="00661D5D">
        <w:t>v</w:t>
      </w:r>
      <w:r w:rsidR="00561271">
        <w:t>igência de cinco anos, mas poderiam</w:t>
      </w:r>
      <w:r w:rsidR="00561271" w:rsidRPr="00661D5D">
        <w:t xml:space="preserve"> ser prorrogados por mais um.</w:t>
      </w:r>
      <w:r w:rsidR="00561271">
        <w:t xml:space="preserve"> </w:t>
      </w:r>
    </w:p>
    <w:p w:rsidR="00B07C8A" w:rsidRPr="00661D5D" w:rsidRDefault="00B07C8A" w:rsidP="00B07C8A">
      <w:pPr>
        <w:spacing w:line="360" w:lineRule="auto"/>
      </w:pPr>
    </w:p>
    <w:p w:rsidR="00947743" w:rsidRDefault="00B07C8A" w:rsidP="00AC004F">
      <w:pPr>
        <w:spacing w:line="360" w:lineRule="auto"/>
        <w:ind w:firstLine="708"/>
        <w:rPr>
          <w:b/>
        </w:rPr>
      </w:pPr>
      <w:r w:rsidRPr="00526665">
        <w:rPr>
          <w:b/>
        </w:rPr>
        <w:t>Fornecimento</w:t>
      </w:r>
      <w:r w:rsidR="00947743">
        <w:rPr>
          <w:b/>
        </w:rPr>
        <w:t xml:space="preserve">: </w:t>
      </w:r>
      <w:r w:rsidRPr="00526665">
        <w:rPr>
          <w:b/>
        </w:rPr>
        <w:t xml:space="preserve">Cana </w:t>
      </w:r>
      <w:r w:rsidR="00947743">
        <w:rPr>
          <w:b/>
        </w:rPr>
        <w:t>"</w:t>
      </w:r>
      <w:r w:rsidRPr="00526665">
        <w:rPr>
          <w:b/>
        </w:rPr>
        <w:t>esteira</w:t>
      </w:r>
      <w:r w:rsidR="00947743">
        <w:rPr>
          <w:b/>
        </w:rPr>
        <w:t>"</w:t>
      </w:r>
    </w:p>
    <w:p w:rsidR="00B07C8A" w:rsidRPr="00661D5D" w:rsidRDefault="00B07C8A" w:rsidP="00B07C8A">
      <w:pPr>
        <w:spacing w:line="360" w:lineRule="auto"/>
      </w:pPr>
      <w:r w:rsidRPr="00661D5D">
        <w:tab/>
        <w:t xml:space="preserve">O produtor que fornece cana </w:t>
      </w:r>
      <w:r w:rsidR="00526665">
        <w:t>"na esteira"</w:t>
      </w:r>
      <w:r w:rsidRPr="00661D5D">
        <w:t xml:space="preserve"> firma um contrato de compra e venda com a usina, geralmente com a mesma vigência dos contratos de arrendamento,</w:t>
      </w:r>
      <w:r w:rsidR="00526665">
        <w:t xml:space="preserve"> ou seja,</w:t>
      </w:r>
      <w:r w:rsidRPr="00661D5D">
        <w:t xml:space="preserve"> cinco anos</w:t>
      </w:r>
      <w:r w:rsidR="00526665">
        <w:t>,</w:t>
      </w:r>
      <w:r w:rsidRPr="00661D5D">
        <w:t xml:space="preserve"> prorrogáveis por mais um. Nesse caso, o fornecedor é o responsável por todas as etapas da produção, arcando com todas as despesas desde o plantio até a entrega da cana na esteira da unidade industrial. Também está sujeito a todos os riscos que interferem na atividade agrícola, como oscilações de preços, aumento de custos, intempéries climáticas, entre outros.</w:t>
      </w:r>
    </w:p>
    <w:p w:rsidR="00B07C8A" w:rsidRPr="00661D5D" w:rsidRDefault="00B07C8A" w:rsidP="00B07C8A">
      <w:pPr>
        <w:spacing w:line="360" w:lineRule="auto"/>
      </w:pPr>
      <w:r w:rsidRPr="00661D5D">
        <w:tab/>
        <w:t>Embora cada contrato tenha suas próprias particularidades negociadas entre o produtor e a usina, todos adotam as regras contratuais mínimas do regulamento CONSECANA, onde o pagamento é baseado no ATR relativo. Partindo do princípio da linearidade, o sistema de ATR relativo ajusta a quantificação do ATR real da cana do produtor para uma média ao longo de todo o período de moagem da unidade industrial, conforme a eq. (1) (CONSECANA, 2006).</w:t>
      </w:r>
    </w:p>
    <w:p w:rsidR="00B07C8A" w:rsidRPr="00661D5D" w:rsidRDefault="00B07C8A" w:rsidP="00B07C8A">
      <w:pPr>
        <w:spacing w:line="360" w:lineRule="auto"/>
      </w:pPr>
    </w:p>
    <w:p w:rsidR="00B07C8A" w:rsidRPr="00661D5D" w:rsidRDefault="00B07C8A" w:rsidP="00B07C8A">
      <w:pPr>
        <w:spacing w:line="360" w:lineRule="auto"/>
        <w:jc w:val="center"/>
      </w:pPr>
      <w:r w:rsidRPr="00661D5D">
        <w:rPr>
          <w:i/>
        </w:rPr>
        <w:t xml:space="preserve">                                     </w:t>
      </w:r>
      <w:proofErr w:type="spellStart"/>
      <w:r w:rsidRPr="00661D5D">
        <w:rPr>
          <w:i/>
        </w:rPr>
        <w:t>ATRr</w:t>
      </w:r>
      <w:proofErr w:type="spellEnd"/>
      <w:r w:rsidRPr="00661D5D">
        <w:rPr>
          <w:i/>
        </w:rPr>
        <w:t xml:space="preserve"> = </w:t>
      </w:r>
      <w:proofErr w:type="spellStart"/>
      <w:r w:rsidRPr="00661D5D">
        <w:rPr>
          <w:i/>
        </w:rPr>
        <w:t>ATRfq</w:t>
      </w:r>
      <w:proofErr w:type="spellEnd"/>
      <w:r w:rsidRPr="00661D5D">
        <w:rPr>
          <w:i/>
        </w:rPr>
        <w:t xml:space="preserve"> + </w:t>
      </w:r>
      <w:proofErr w:type="spellStart"/>
      <w:r w:rsidRPr="00661D5D">
        <w:rPr>
          <w:i/>
        </w:rPr>
        <w:t>ATRus</w:t>
      </w:r>
      <w:proofErr w:type="spellEnd"/>
      <w:r w:rsidRPr="00661D5D">
        <w:rPr>
          <w:i/>
        </w:rPr>
        <w:t xml:space="preserve"> – </w:t>
      </w:r>
      <w:proofErr w:type="spellStart"/>
      <w:r w:rsidRPr="00661D5D">
        <w:rPr>
          <w:i/>
        </w:rPr>
        <w:t>ATRuq</w:t>
      </w:r>
      <w:proofErr w:type="spellEnd"/>
      <w:r w:rsidRPr="00661D5D">
        <w:rPr>
          <w:i/>
        </w:rPr>
        <w:tab/>
      </w:r>
      <w:r w:rsidRPr="00661D5D">
        <w:rPr>
          <w:b/>
          <w:i/>
        </w:rPr>
        <w:tab/>
        <w:t xml:space="preserve">              </w:t>
      </w:r>
      <w:r w:rsidRPr="00661D5D">
        <w:rPr>
          <w:b/>
          <w:i/>
        </w:rPr>
        <w:tab/>
      </w:r>
      <w:r w:rsidRPr="00661D5D">
        <w:t>(1)</w:t>
      </w:r>
    </w:p>
    <w:p w:rsidR="00B07C8A" w:rsidRPr="00661D5D" w:rsidRDefault="00F44510" w:rsidP="00526665">
      <w:pPr>
        <w:spacing w:line="360" w:lineRule="auto"/>
      </w:pPr>
      <w:proofErr w:type="gramStart"/>
      <w:r>
        <w:lastRenderedPageBreak/>
        <w:t>o</w:t>
      </w:r>
      <w:r w:rsidR="00526665">
        <w:t>nde</w:t>
      </w:r>
      <w:proofErr w:type="gramEnd"/>
      <w:r w:rsidR="00526665">
        <w:t xml:space="preserve">, </w:t>
      </w:r>
      <w:proofErr w:type="spellStart"/>
      <w:r w:rsidR="005B5F6C">
        <w:t>ATRr</w:t>
      </w:r>
      <w:proofErr w:type="spellEnd"/>
      <w:r w:rsidR="005B5F6C">
        <w:t>:</w:t>
      </w:r>
      <w:r w:rsidR="00BB3B0B">
        <w:t xml:space="preserve"> a</w:t>
      </w:r>
      <w:r w:rsidR="00B07C8A" w:rsidRPr="00661D5D">
        <w:t>çúcar</w:t>
      </w:r>
      <w:r w:rsidR="00BB3B0B">
        <w:t>es totais recuperáveis</w:t>
      </w:r>
      <w:r w:rsidR="00B07C8A" w:rsidRPr="00661D5D">
        <w:t xml:space="preserve"> relativo do fornecedor;</w:t>
      </w:r>
      <w:r w:rsidR="00526665">
        <w:t xml:space="preserve"> </w:t>
      </w:r>
      <w:proofErr w:type="spellStart"/>
      <w:r w:rsidR="005B5F6C">
        <w:t>ATRfq</w:t>
      </w:r>
      <w:proofErr w:type="spellEnd"/>
      <w:r w:rsidR="005B5F6C">
        <w:t>:</w:t>
      </w:r>
      <w:r w:rsidR="00BB3B0B">
        <w:t xml:space="preserve"> a</w:t>
      </w:r>
      <w:r w:rsidR="00B07C8A" w:rsidRPr="00661D5D">
        <w:t>çúcar</w:t>
      </w:r>
      <w:r w:rsidR="00BB3B0B">
        <w:t xml:space="preserve">es totais recuperáveis </w:t>
      </w:r>
      <w:r w:rsidR="00B07C8A" w:rsidRPr="00661D5D">
        <w:t>do fornecedor na quinzena;</w:t>
      </w:r>
      <w:r w:rsidR="00526665">
        <w:t xml:space="preserve"> </w:t>
      </w:r>
      <w:proofErr w:type="spellStart"/>
      <w:r w:rsidR="005B5F6C">
        <w:t>ATRus</w:t>
      </w:r>
      <w:proofErr w:type="spellEnd"/>
      <w:r w:rsidR="005B5F6C">
        <w:t>:</w:t>
      </w:r>
      <w:r w:rsidR="00BB3B0B">
        <w:t xml:space="preserve"> açúcares totais recuperáveis </w:t>
      </w:r>
      <w:r w:rsidR="00B07C8A" w:rsidRPr="00661D5D">
        <w:t>da usina (própria + fornecedor) na safra (estimado);</w:t>
      </w:r>
      <w:r w:rsidR="00526665">
        <w:t xml:space="preserve"> </w:t>
      </w:r>
      <w:proofErr w:type="spellStart"/>
      <w:r w:rsidR="00B345A4">
        <w:t>ATRuq</w:t>
      </w:r>
      <w:proofErr w:type="spellEnd"/>
      <w:r w:rsidR="00B345A4">
        <w:t>:</w:t>
      </w:r>
      <w:r w:rsidR="00BB3B0B">
        <w:t xml:space="preserve"> a</w:t>
      </w:r>
      <w:r w:rsidR="00B07C8A" w:rsidRPr="00661D5D">
        <w:t>çúcar</w:t>
      </w:r>
      <w:r w:rsidR="00BB3B0B">
        <w:t>es totais recuperáveis</w:t>
      </w:r>
      <w:r w:rsidR="00B07C8A" w:rsidRPr="00661D5D">
        <w:t xml:space="preserve"> da usina (própria + fornecedor) na quinzena.</w:t>
      </w:r>
    </w:p>
    <w:p w:rsidR="00B07C8A" w:rsidRPr="00661D5D" w:rsidRDefault="00B07C8A" w:rsidP="00B345A4">
      <w:pPr>
        <w:spacing w:line="360" w:lineRule="auto"/>
      </w:pPr>
      <w:r w:rsidRPr="00661D5D">
        <w:tab/>
        <w:t xml:space="preserve">Na safra 2014/2015, a média do ATR, no Brasil, foi de 136,58 </w:t>
      </w:r>
      <w:r w:rsidR="008B14D8">
        <w:t>k</w:t>
      </w:r>
      <w:r w:rsidRPr="00661D5D">
        <w:t>g</w:t>
      </w:r>
      <w:r w:rsidR="00526665">
        <w:t xml:space="preserve"> </w:t>
      </w:r>
      <w:r w:rsidRPr="00661D5D">
        <w:t>t</w:t>
      </w:r>
      <w:r w:rsidR="00526665" w:rsidRPr="00526665">
        <w:rPr>
          <w:vertAlign w:val="superscript"/>
        </w:rPr>
        <w:t>-</w:t>
      </w:r>
      <w:r w:rsidR="00526665" w:rsidRPr="00526665">
        <w:t>¹</w:t>
      </w:r>
      <w:r w:rsidR="00526665">
        <w:t xml:space="preserve"> e a produtividade média </w:t>
      </w:r>
      <w:r w:rsidRPr="00661D5D">
        <w:t xml:space="preserve">foi 91, 80, 70, 65 e 61 </w:t>
      </w:r>
      <w:r w:rsidR="00526665">
        <w:t>t ha</w:t>
      </w:r>
      <w:r w:rsidR="00526665" w:rsidRPr="00526665">
        <w:rPr>
          <w:vertAlign w:val="superscript"/>
        </w:rPr>
        <w:t>-</w:t>
      </w:r>
      <w:r w:rsidR="00526665" w:rsidRPr="00526665">
        <w:t>¹</w:t>
      </w:r>
      <w:r w:rsidR="00526665">
        <w:t xml:space="preserve"> </w:t>
      </w:r>
      <w:r w:rsidRPr="00661D5D">
        <w:t>para o 1º, 2º, 3º, 4º e 5</w:t>
      </w:r>
      <w:r w:rsidR="008F5FB8" w:rsidRPr="00661D5D">
        <w:t>º cortes, respectivamente (CONAB</w:t>
      </w:r>
      <w:r w:rsidRPr="00661D5D">
        <w:t>, 2014). Os valores obtidos no levantamento realizado para esse estudo indicaram que, na região de Chavantes, o ATR relativo da cana entregue pelos fornecedores na última safra</w:t>
      </w:r>
      <w:r w:rsidR="002E44A6" w:rsidRPr="00661D5D">
        <w:t xml:space="preserve"> (2014/2015)</w:t>
      </w:r>
      <w:r w:rsidRPr="00661D5D">
        <w:t xml:space="preserve"> foi inferior à média apurada no país, sendo de 130,06 kg</w:t>
      </w:r>
      <w:r w:rsidR="00947743">
        <w:t xml:space="preserve"> </w:t>
      </w:r>
      <w:r w:rsidRPr="00661D5D">
        <w:t>t</w:t>
      </w:r>
      <w:r w:rsidR="00947743" w:rsidRPr="00526665">
        <w:rPr>
          <w:vertAlign w:val="superscript"/>
        </w:rPr>
        <w:t>-</w:t>
      </w:r>
      <w:r w:rsidR="00947743" w:rsidRPr="00526665">
        <w:t>¹</w:t>
      </w:r>
      <w:r w:rsidRPr="00661D5D">
        <w:t>. Entretanto a produtividade foi maior, sendo a média do 1°, 2°, 3°, 4° e 5° cortes</w:t>
      </w:r>
      <w:r w:rsidR="00947743">
        <w:t xml:space="preserve"> igual a 130, 97, 81, 71 e 71 t </w:t>
      </w:r>
      <w:r w:rsidRPr="00661D5D">
        <w:t>ha</w:t>
      </w:r>
      <w:r w:rsidR="00947743" w:rsidRPr="00526665">
        <w:rPr>
          <w:vertAlign w:val="superscript"/>
        </w:rPr>
        <w:t>-</w:t>
      </w:r>
      <w:r w:rsidR="00947743" w:rsidRPr="00526665">
        <w:t>¹</w:t>
      </w:r>
      <w:r w:rsidRPr="00661D5D">
        <w:t>, respectivamente.</w:t>
      </w:r>
    </w:p>
    <w:p w:rsidR="00B07C8A" w:rsidRPr="00661D5D" w:rsidRDefault="00B07C8A" w:rsidP="00B07C8A">
      <w:pPr>
        <w:spacing w:line="360" w:lineRule="auto"/>
      </w:pPr>
    </w:p>
    <w:p w:rsidR="00947743" w:rsidRDefault="00947743" w:rsidP="00AC004F">
      <w:pPr>
        <w:spacing w:line="360" w:lineRule="auto"/>
        <w:ind w:firstLine="708"/>
        <w:rPr>
          <w:b/>
        </w:rPr>
      </w:pPr>
      <w:r w:rsidRPr="00947743">
        <w:rPr>
          <w:b/>
        </w:rPr>
        <w:t>Fornecimento: Cana "spot"</w:t>
      </w:r>
    </w:p>
    <w:p w:rsidR="00B07C8A" w:rsidRPr="00661D5D" w:rsidRDefault="00B07C8A" w:rsidP="00B07C8A">
      <w:pPr>
        <w:spacing w:line="360" w:lineRule="auto"/>
      </w:pPr>
      <w:r w:rsidRPr="00661D5D">
        <w:tab/>
        <w:t xml:space="preserve">Os fornecedores que optam pela venda de cana </w:t>
      </w:r>
      <w:r w:rsidR="00426CC3" w:rsidRPr="00426CC3">
        <w:t>“</w:t>
      </w:r>
      <w:r w:rsidRPr="00426CC3">
        <w:t>spot</w:t>
      </w:r>
      <w:r w:rsidR="00426CC3" w:rsidRPr="00426CC3">
        <w:t>”</w:t>
      </w:r>
      <w:r w:rsidRPr="00661D5D">
        <w:rPr>
          <w:i/>
        </w:rPr>
        <w:t xml:space="preserve"> </w:t>
      </w:r>
      <w:r w:rsidRPr="00661D5D">
        <w:t>não fazem contrato com as usinas e esperam para vender durante a safra. Nessa modalidade o fornecedor não precisa vender pelo sistema CONSECANA e tem mais liberdade para negociação de preço fixo por tonelada. Assim como o fornecedor "cana esteira", é responsável por todas as despesas da produção e por todos os riscos decorrentes da atividade. No entanto, na grande maioria das negociaç</w:t>
      </w:r>
      <w:r w:rsidR="00947743">
        <w:t>ões a unidade compradora assume</w:t>
      </w:r>
      <w:r w:rsidRPr="00661D5D">
        <w:t xml:space="preserve"> os custos de corte, carregamento e transporte </w:t>
      </w:r>
      <w:r w:rsidR="00947743">
        <w:t xml:space="preserve">[CCT], </w:t>
      </w:r>
      <w:proofErr w:type="gramStart"/>
      <w:r w:rsidRPr="00661D5D">
        <w:t>chamado "cana</w:t>
      </w:r>
      <w:proofErr w:type="gramEnd"/>
      <w:r w:rsidRPr="00661D5D">
        <w:t xml:space="preserve"> campo".</w:t>
      </w:r>
    </w:p>
    <w:p w:rsidR="00B07C8A" w:rsidRPr="00661D5D" w:rsidRDefault="00B07C8A" w:rsidP="00B07C8A">
      <w:pPr>
        <w:spacing w:line="360" w:lineRule="auto"/>
      </w:pPr>
      <w:r w:rsidRPr="00661D5D">
        <w:tab/>
        <w:t xml:space="preserve">Embora os valores da tonelada de cana possam ser mais atrativos no mercado </w:t>
      </w:r>
      <w:r w:rsidR="000D626B">
        <w:t>"</w:t>
      </w:r>
      <w:r w:rsidR="000D626B" w:rsidRPr="000D626B">
        <w:t>spot</w:t>
      </w:r>
      <w:r w:rsidR="000D626B">
        <w:t>"</w:t>
      </w:r>
      <w:r w:rsidRPr="00661D5D">
        <w:rPr>
          <w:i/>
        </w:rPr>
        <w:t>,</w:t>
      </w:r>
      <w:r w:rsidRPr="00661D5D">
        <w:t xml:space="preserve"> o fornecedor que opta por este tipo de negociação assume uma série de riscos. Por ser um mercado muito volátil, o fornecedor pode conseguir boa negociação em uma safra e em outra não conseguir vender a cana. As unidades industriais priorizam contratos de longo prazo, comprando no mercado </w:t>
      </w:r>
      <w:r w:rsidR="000D626B">
        <w:t>"</w:t>
      </w:r>
      <w:r w:rsidRPr="000D626B">
        <w:t>spot</w:t>
      </w:r>
      <w:r w:rsidR="000D626B">
        <w:t>"</w:t>
      </w:r>
      <w:r w:rsidRPr="00661D5D">
        <w:t xml:space="preserve"> apenas quando há falta de cana. Além disso, devido à crise enfrentada pelo setor, </w:t>
      </w:r>
      <w:proofErr w:type="gramStart"/>
      <w:r w:rsidRPr="00661D5D">
        <w:t>muitas usinas tem</w:t>
      </w:r>
      <w:proofErr w:type="gramEnd"/>
      <w:r w:rsidRPr="00661D5D">
        <w:t xml:space="preserve"> tido dificuldades em obter resultados e manter as contas em dia, o que aumenta os riscos do fornecedor que negocie nesse sistema (Martins, 2014).</w:t>
      </w:r>
    </w:p>
    <w:p w:rsidR="00B07C8A" w:rsidRPr="00661D5D" w:rsidRDefault="00B07C8A" w:rsidP="00B07C8A">
      <w:pPr>
        <w:spacing w:line="360" w:lineRule="auto"/>
      </w:pPr>
      <w:r w:rsidRPr="00661D5D">
        <w:tab/>
        <w:t xml:space="preserve">Na região deste estudo, o valor médio pago no mercado </w:t>
      </w:r>
      <w:r w:rsidR="000D626B" w:rsidRPr="000D626B">
        <w:t>"</w:t>
      </w:r>
      <w:r w:rsidRPr="000D626B">
        <w:t>spot</w:t>
      </w:r>
      <w:r w:rsidR="000D626B">
        <w:t>",</w:t>
      </w:r>
      <w:r w:rsidR="002E44A6" w:rsidRPr="00661D5D">
        <w:t xml:space="preserve"> na </w:t>
      </w:r>
      <w:r w:rsidR="000D626B">
        <w:t>s</w:t>
      </w:r>
      <w:r w:rsidR="002E44A6" w:rsidRPr="00661D5D">
        <w:t>afra 2014/2015</w:t>
      </w:r>
      <w:r w:rsidRPr="00661D5D">
        <w:rPr>
          <w:i/>
        </w:rPr>
        <w:t xml:space="preserve"> </w:t>
      </w:r>
      <w:r w:rsidRPr="00661D5D">
        <w:t>foi de R$ 38,00</w:t>
      </w:r>
      <w:r w:rsidR="008B14D8">
        <w:t xml:space="preserve"> </w:t>
      </w:r>
      <w:r w:rsidRPr="00661D5D">
        <w:t>t</w:t>
      </w:r>
      <w:r w:rsidR="008B14D8" w:rsidRPr="00603F98">
        <w:rPr>
          <w:vertAlign w:val="superscript"/>
        </w:rPr>
        <w:t>-1</w:t>
      </w:r>
      <w:r w:rsidRPr="00661D5D">
        <w:t xml:space="preserve">, livre dos custos de CCT. </w:t>
      </w:r>
    </w:p>
    <w:p w:rsidR="00B07C8A" w:rsidRDefault="00B07C8A" w:rsidP="00B07C8A">
      <w:pPr>
        <w:spacing w:line="360" w:lineRule="auto"/>
      </w:pPr>
    </w:p>
    <w:p w:rsidR="008B7756" w:rsidRDefault="00B07C8A" w:rsidP="00AC004F">
      <w:pPr>
        <w:spacing w:line="360" w:lineRule="auto"/>
        <w:ind w:firstLine="708"/>
        <w:rPr>
          <w:b/>
        </w:rPr>
      </w:pPr>
      <w:r w:rsidRPr="00FD39F3">
        <w:rPr>
          <w:b/>
        </w:rPr>
        <w:t>Custos de produção</w:t>
      </w:r>
    </w:p>
    <w:p w:rsidR="00B07C8A" w:rsidRDefault="008B7756" w:rsidP="008B7756">
      <w:pPr>
        <w:spacing w:line="360" w:lineRule="auto"/>
      </w:pPr>
      <w:r>
        <w:rPr>
          <w:b/>
        </w:rPr>
        <w:tab/>
      </w:r>
      <w:r w:rsidR="00B07C8A" w:rsidRPr="00661D5D">
        <w:t>Por se tratar de cultura semiperene, a cana-de-açúcar tem ciclo produtivo relativamente extenso, cerca de seis an</w:t>
      </w:r>
      <w:bookmarkStart w:id="0" w:name="_GoBack"/>
      <w:bookmarkEnd w:id="0"/>
      <w:r w:rsidR="00B07C8A" w:rsidRPr="00661D5D">
        <w:t xml:space="preserve">os com cinco cortes, antes de precisar ser </w:t>
      </w:r>
      <w:r w:rsidR="00B07C8A" w:rsidRPr="00661D5D">
        <w:lastRenderedPageBreak/>
        <w:t>replantada. Dessa forma</w:t>
      </w:r>
      <w:r w:rsidR="000D626B">
        <w:t>,</w:t>
      </w:r>
      <w:r w:rsidR="00B07C8A" w:rsidRPr="00661D5D">
        <w:t xml:space="preserve"> os custos para produção da cana</w:t>
      </w:r>
      <w:r w:rsidR="000D626B">
        <w:t>-</w:t>
      </w:r>
      <w:r w:rsidR="00B07C8A" w:rsidRPr="00661D5D">
        <w:t>de</w:t>
      </w:r>
      <w:r w:rsidR="000D626B">
        <w:t>-</w:t>
      </w:r>
      <w:r w:rsidR="00B07C8A" w:rsidRPr="00661D5D">
        <w:t xml:space="preserve">açúcar podem ser divididos em quatro etapas: preparo de solo, plantio, tratos da soqueira e CCT. </w:t>
      </w:r>
    </w:p>
    <w:p w:rsidR="000D626B" w:rsidRDefault="000D626B" w:rsidP="00B07C8A">
      <w:pPr>
        <w:spacing w:line="360" w:lineRule="auto"/>
      </w:pPr>
    </w:p>
    <w:p w:rsidR="000D626B" w:rsidRDefault="000D626B" w:rsidP="00AC004F">
      <w:pPr>
        <w:spacing w:line="360" w:lineRule="auto"/>
        <w:ind w:firstLine="708"/>
        <w:rPr>
          <w:b/>
        </w:rPr>
      </w:pPr>
      <w:r w:rsidRPr="00282A26">
        <w:rPr>
          <w:b/>
        </w:rPr>
        <w:t>Preparo de solo e plantio</w:t>
      </w:r>
    </w:p>
    <w:p w:rsidR="000D626B" w:rsidRPr="00661D5D" w:rsidRDefault="000D626B" w:rsidP="000D626B">
      <w:pPr>
        <w:spacing w:line="360" w:lineRule="auto"/>
      </w:pPr>
      <w:r w:rsidRPr="00661D5D">
        <w:tab/>
        <w:t xml:space="preserve">A primeira fase para implantação do canavial </w:t>
      </w:r>
      <w:r>
        <w:t>constitui-se</w:t>
      </w:r>
      <w:r w:rsidRPr="00661D5D">
        <w:t xml:space="preserve"> de várias operações realizadas com o auxílio de equipamentos e implementos específicos para executar o preparo de solo e plantio. Embora a mecanização tenha avançado muito nos últimos anos, a operação para distribuição das mudas, na maioria dos casos ainda é </w:t>
      </w:r>
      <w:r>
        <w:t xml:space="preserve">realizada </w:t>
      </w:r>
      <w:r w:rsidRPr="00661D5D">
        <w:t>manualmente (</w:t>
      </w:r>
      <w:proofErr w:type="spellStart"/>
      <w:r w:rsidRPr="00661D5D">
        <w:t>Paraizo</w:t>
      </w:r>
      <w:proofErr w:type="spellEnd"/>
      <w:r w:rsidRPr="00661D5D">
        <w:t>, 2013).</w:t>
      </w:r>
    </w:p>
    <w:p w:rsidR="005A05CB" w:rsidRDefault="000D626B" w:rsidP="000D626B">
      <w:pPr>
        <w:tabs>
          <w:tab w:val="left" w:pos="709"/>
        </w:tabs>
        <w:spacing w:line="360" w:lineRule="auto"/>
      </w:pPr>
      <w:r w:rsidRPr="00661D5D">
        <w:tab/>
        <w:t xml:space="preserve">Para a realização deste estudo foi considerado os valores médios, para todas as operações envolvidas nessa fase, </w:t>
      </w:r>
      <w:r>
        <w:t>obtendo o</w:t>
      </w:r>
      <w:r w:rsidRPr="00661D5D">
        <w:t xml:space="preserve"> valor de R$ 5.</w:t>
      </w:r>
      <w:r>
        <w:t>094,85 ha</w:t>
      </w:r>
      <w:r w:rsidRPr="00D26D83">
        <w:rPr>
          <w:vertAlign w:val="superscript"/>
        </w:rPr>
        <w:t>-1</w:t>
      </w:r>
      <w:r>
        <w:t xml:space="preserve"> (Tabela 1).</w:t>
      </w:r>
    </w:p>
    <w:p w:rsidR="000D626B" w:rsidRDefault="000D626B" w:rsidP="000D626B">
      <w:pPr>
        <w:tabs>
          <w:tab w:val="left" w:pos="709"/>
        </w:tabs>
        <w:spacing w:line="360" w:lineRule="auto"/>
      </w:pPr>
      <w:r>
        <w:t xml:space="preserve"> </w:t>
      </w:r>
    </w:p>
    <w:p w:rsidR="000D626B" w:rsidRDefault="000D626B" w:rsidP="00F44510">
      <w:pPr>
        <w:spacing w:after="120" w:line="240" w:lineRule="auto"/>
      </w:pPr>
      <w:r w:rsidRPr="005237DE">
        <w:t>Tabela 1. Custo de produ</w:t>
      </w:r>
      <w:r>
        <w:t>ção para preparo de solo e plantio de cana-de-açúcar na safra 2014/2015 na região sudoeste do estado de São Paulo</w:t>
      </w:r>
      <w:r w:rsidRPr="005237DE">
        <w:t xml:space="preserve">     </w:t>
      </w:r>
    </w:p>
    <w:p w:rsidR="0040526B" w:rsidRPr="0040526B" w:rsidRDefault="0040526B" w:rsidP="0040526B">
      <w:pPr>
        <w:spacing w:line="360" w:lineRule="auto"/>
        <w:jc w:val="right"/>
        <w:rPr>
          <w:sz w:val="20"/>
          <w:shd w:val="clear" w:color="auto" w:fill="FFFFFF"/>
        </w:rPr>
      </w:pPr>
      <w:r>
        <w:rPr>
          <w:sz w:val="20"/>
          <w:shd w:val="clear" w:color="auto" w:fill="FFFFFF"/>
        </w:rPr>
        <w:t>(</w:t>
      </w:r>
      <w:proofErr w:type="gramStart"/>
      <w:r>
        <w:rPr>
          <w:sz w:val="20"/>
          <w:shd w:val="clear" w:color="auto" w:fill="FFFFFF"/>
        </w:rPr>
        <w:t>continua</w:t>
      </w:r>
      <w:proofErr w:type="gramEnd"/>
      <w:r>
        <w:rPr>
          <w:sz w:val="20"/>
          <w:shd w:val="clear" w:color="auto" w:fill="FFFFFF"/>
        </w:rPr>
        <w:t>)</w:t>
      </w:r>
    </w:p>
    <w:tbl>
      <w:tblPr>
        <w:tblW w:w="5000" w:type="pct"/>
        <w:tblCellMar>
          <w:left w:w="70" w:type="dxa"/>
          <w:right w:w="70" w:type="dxa"/>
        </w:tblCellMar>
        <w:tblLook w:val="04A0" w:firstRow="1" w:lastRow="0" w:firstColumn="1" w:lastColumn="0" w:noHBand="0" w:noVBand="1"/>
      </w:tblPr>
      <w:tblGrid>
        <w:gridCol w:w="2079"/>
        <w:gridCol w:w="2225"/>
        <w:gridCol w:w="1057"/>
        <w:gridCol w:w="1011"/>
        <w:gridCol w:w="1240"/>
        <w:gridCol w:w="1032"/>
      </w:tblGrid>
      <w:tr w:rsidR="000D626B" w:rsidRPr="00282A26" w:rsidTr="00B71566">
        <w:trPr>
          <w:trHeight w:hRule="exact" w:val="482"/>
        </w:trPr>
        <w:tc>
          <w:tcPr>
            <w:tcW w:w="1203" w:type="pct"/>
            <w:tcBorders>
              <w:top w:val="single" w:sz="4" w:space="0" w:color="auto"/>
              <w:left w:val="nil"/>
              <w:bottom w:val="single" w:sz="4" w:space="0" w:color="auto"/>
              <w:right w:val="nil"/>
            </w:tcBorders>
            <w:shd w:val="clear" w:color="auto" w:fill="auto"/>
            <w:vAlign w:val="bottom"/>
            <w:hideMark/>
          </w:tcPr>
          <w:p w:rsidR="000D626B" w:rsidRPr="00282A26" w:rsidRDefault="000D626B" w:rsidP="00EC7ACA">
            <w:pPr>
              <w:jc w:val="left"/>
              <w:rPr>
                <w:rFonts w:eastAsia="Times New Roman"/>
                <w:bCs/>
                <w:sz w:val="16"/>
                <w:szCs w:val="16"/>
                <w:lang w:eastAsia="pt-BR"/>
              </w:rPr>
            </w:pPr>
            <w:r w:rsidRPr="00282A26">
              <w:rPr>
                <w:rFonts w:eastAsia="Times New Roman"/>
                <w:bCs/>
                <w:sz w:val="16"/>
                <w:szCs w:val="16"/>
                <w:lang w:eastAsia="pt-BR"/>
              </w:rPr>
              <w:t>OPERAÇÃO</w:t>
            </w:r>
          </w:p>
        </w:tc>
        <w:tc>
          <w:tcPr>
            <w:tcW w:w="1287" w:type="pct"/>
            <w:tcBorders>
              <w:top w:val="single" w:sz="4" w:space="0" w:color="auto"/>
              <w:left w:val="nil"/>
              <w:bottom w:val="single" w:sz="4" w:space="0" w:color="auto"/>
              <w:right w:val="nil"/>
            </w:tcBorders>
            <w:shd w:val="clear" w:color="auto" w:fill="auto"/>
            <w:vAlign w:val="bottom"/>
            <w:hideMark/>
          </w:tcPr>
          <w:p w:rsidR="000D626B" w:rsidRPr="00282A26" w:rsidRDefault="000D626B" w:rsidP="00EC7ACA">
            <w:pPr>
              <w:jc w:val="center"/>
              <w:rPr>
                <w:rFonts w:eastAsia="Times New Roman"/>
                <w:bCs/>
                <w:sz w:val="16"/>
                <w:szCs w:val="16"/>
                <w:lang w:eastAsia="pt-BR"/>
              </w:rPr>
            </w:pPr>
            <w:r w:rsidRPr="00282A26">
              <w:rPr>
                <w:rFonts w:eastAsia="Times New Roman"/>
                <w:bCs/>
                <w:sz w:val="16"/>
                <w:szCs w:val="16"/>
                <w:lang w:eastAsia="pt-BR"/>
              </w:rPr>
              <w:t>DESCRIÇÃO</w:t>
            </w:r>
          </w:p>
        </w:tc>
        <w:tc>
          <w:tcPr>
            <w:tcW w:w="611" w:type="pct"/>
            <w:tcBorders>
              <w:top w:val="single" w:sz="4" w:space="0" w:color="auto"/>
              <w:left w:val="nil"/>
              <w:bottom w:val="single" w:sz="4" w:space="0" w:color="auto"/>
              <w:right w:val="nil"/>
            </w:tcBorders>
            <w:shd w:val="clear" w:color="auto" w:fill="auto"/>
            <w:vAlign w:val="bottom"/>
            <w:hideMark/>
          </w:tcPr>
          <w:p w:rsidR="000D626B" w:rsidRPr="00282A26" w:rsidRDefault="000D626B" w:rsidP="00EC7ACA">
            <w:pPr>
              <w:jc w:val="center"/>
              <w:rPr>
                <w:rFonts w:eastAsia="Times New Roman"/>
                <w:bCs/>
                <w:sz w:val="16"/>
                <w:szCs w:val="16"/>
                <w:lang w:eastAsia="pt-BR"/>
              </w:rPr>
            </w:pPr>
            <w:r w:rsidRPr="00282A26">
              <w:rPr>
                <w:rFonts w:eastAsia="Times New Roman"/>
                <w:bCs/>
                <w:sz w:val="16"/>
                <w:szCs w:val="16"/>
                <w:lang w:eastAsia="pt-BR"/>
              </w:rPr>
              <w:t>UNIDADE</w:t>
            </w:r>
          </w:p>
        </w:tc>
        <w:tc>
          <w:tcPr>
            <w:tcW w:w="585" w:type="pct"/>
            <w:tcBorders>
              <w:top w:val="single" w:sz="4" w:space="0" w:color="auto"/>
              <w:left w:val="nil"/>
              <w:bottom w:val="single" w:sz="4" w:space="0" w:color="auto"/>
              <w:right w:val="nil"/>
            </w:tcBorders>
            <w:shd w:val="clear" w:color="auto" w:fill="auto"/>
            <w:vAlign w:val="bottom"/>
            <w:hideMark/>
          </w:tcPr>
          <w:p w:rsidR="000D626B" w:rsidRPr="00282A26" w:rsidRDefault="000D626B" w:rsidP="00EC7ACA">
            <w:pPr>
              <w:jc w:val="center"/>
              <w:rPr>
                <w:rFonts w:eastAsia="Times New Roman"/>
                <w:bCs/>
                <w:sz w:val="16"/>
                <w:szCs w:val="16"/>
                <w:lang w:eastAsia="pt-BR"/>
              </w:rPr>
            </w:pPr>
            <w:r w:rsidRPr="00282A26">
              <w:rPr>
                <w:rFonts w:eastAsia="Times New Roman"/>
                <w:bCs/>
                <w:sz w:val="16"/>
                <w:szCs w:val="16"/>
                <w:lang w:eastAsia="pt-BR"/>
              </w:rPr>
              <w:t>CUSTO UNID.</w:t>
            </w:r>
          </w:p>
        </w:tc>
        <w:tc>
          <w:tcPr>
            <w:tcW w:w="717" w:type="pct"/>
            <w:tcBorders>
              <w:top w:val="single" w:sz="4" w:space="0" w:color="auto"/>
              <w:left w:val="nil"/>
              <w:bottom w:val="single" w:sz="4" w:space="0" w:color="auto"/>
              <w:right w:val="nil"/>
            </w:tcBorders>
            <w:shd w:val="clear" w:color="auto" w:fill="auto"/>
            <w:vAlign w:val="bottom"/>
            <w:hideMark/>
          </w:tcPr>
          <w:p w:rsidR="000D626B" w:rsidRPr="00282A26" w:rsidRDefault="000D626B" w:rsidP="00EC7ACA">
            <w:pPr>
              <w:jc w:val="center"/>
              <w:rPr>
                <w:rFonts w:eastAsia="Times New Roman"/>
                <w:bCs/>
                <w:sz w:val="16"/>
                <w:szCs w:val="16"/>
                <w:lang w:eastAsia="pt-BR"/>
              </w:rPr>
            </w:pPr>
            <w:r w:rsidRPr="00282A26">
              <w:rPr>
                <w:rFonts w:eastAsia="Times New Roman"/>
                <w:bCs/>
                <w:sz w:val="16"/>
                <w:szCs w:val="16"/>
                <w:lang w:eastAsia="pt-BR"/>
              </w:rPr>
              <w:t>UNIDADE OPERAÇÃO</w:t>
            </w:r>
          </w:p>
        </w:tc>
        <w:tc>
          <w:tcPr>
            <w:tcW w:w="597" w:type="pct"/>
            <w:tcBorders>
              <w:top w:val="single" w:sz="4" w:space="0" w:color="auto"/>
              <w:left w:val="nil"/>
              <w:bottom w:val="single" w:sz="4" w:space="0" w:color="auto"/>
              <w:right w:val="nil"/>
            </w:tcBorders>
            <w:shd w:val="clear" w:color="auto" w:fill="auto"/>
            <w:vAlign w:val="bottom"/>
            <w:hideMark/>
          </w:tcPr>
          <w:p w:rsidR="000D626B" w:rsidRPr="00282A26" w:rsidRDefault="000D626B" w:rsidP="00EC7ACA">
            <w:pPr>
              <w:jc w:val="center"/>
              <w:rPr>
                <w:rFonts w:eastAsia="Times New Roman"/>
                <w:bCs/>
                <w:sz w:val="16"/>
                <w:szCs w:val="16"/>
                <w:lang w:eastAsia="pt-BR"/>
              </w:rPr>
            </w:pPr>
            <w:r w:rsidRPr="00282A26">
              <w:rPr>
                <w:rFonts w:eastAsia="Times New Roman"/>
                <w:bCs/>
                <w:sz w:val="16"/>
                <w:szCs w:val="16"/>
                <w:lang w:eastAsia="pt-BR"/>
              </w:rPr>
              <w:t xml:space="preserve">TOTAL         </w:t>
            </w:r>
          </w:p>
        </w:tc>
      </w:tr>
      <w:tr w:rsidR="000D626B" w:rsidRPr="00282A26" w:rsidTr="00A0572A">
        <w:trPr>
          <w:trHeight w:hRule="exact" w:val="241"/>
        </w:trPr>
        <w:tc>
          <w:tcPr>
            <w:tcW w:w="1203" w:type="pct"/>
            <w:tcBorders>
              <w:top w:val="single" w:sz="4" w:space="0" w:color="auto"/>
              <w:left w:val="nil"/>
              <w:right w:val="nil"/>
            </w:tcBorders>
            <w:shd w:val="clear" w:color="auto" w:fill="auto"/>
            <w:vAlign w:val="bottom"/>
          </w:tcPr>
          <w:p w:rsidR="000D626B" w:rsidRPr="00282A26" w:rsidRDefault="000D626B" w:rsidP="00EC7ACA">
            <w:pPr>
              <w:jc w:val="left"/>
              <w:rPr>
                <w:rFonts w:eastAsia="Times New Roman"/>
                <w:bCs/>
                <w:sz w:val="16"/>
                <w:szCs w:val="16"/>
                <w:lang w:eastAsia="pt-BR"/>
              </w:rPr>
            </w:pPr>
          </w:p>
        </w:tc>
        <w:tc>
          <w:tcPr>
            <w:tcW w:w="1287" w:type="pct"/>
            <w:tcBorders>
              <w:top w:val="single" w:sz="4" w:space="0" w:color="auto"/>
              <w:left w:val="nil"/>
              <w:right w:val="nil"/>
            </w:tcBorders>
            <w:shd w:val="clear" w:color="auto" w:fill="auto"/>
            <w:vAlign w:val="bottom"/>
          </w:tcPr>
          <w:p w:rsidR="000D626B" w:rsidRPr="00282A26" w:rsidRDefault="000D626B" w:rsidP="00EC7ACA">
            <w:pPr>
              <w:jc w:val="center"/>
              <w:rPr>
                <w:rFonts w:eastAsia="Times New Roman"/>
                <w:bCs/>
                <w:sz w:val="16"/>
                <w:szCs w:val="16"/>
                <w:lang w:eastAsia="pt-BR"/>
              </w:rPr>
            </w:pPr>
          </w:p>
        </w:tc>
        <w:tc>
          <w:tcPr>
            <w:tcW w:w="611" w:type="pct"/>
            <w:tcBorders>
              <w:top w:val="single" w:sz="4" w:space="0" w:color="auto"/>
              <w:left w:val="nil"/>
              <w:right w:val="nil"/>
            </w:tcBorders>
            <w:shd w:val="clear" w:color="auto" w:fill="auto"/>
            <w:vAlign w:val="bottom"/>
          </w:tcPr>
          <w:p w:rsidR="000D626B" w:rsidRPr="00282A26" w:rsidRDefault="000D626B" w:rsidP="00EC7ACA">
            <w:pPr>
              <w:jc w:val="center"/>
              <w:rPr>
                <w:rFonts w:eastAsia="Times New Roman"/>
                <w:bCs/>
                <w:sz w:val="16"/>
                <w:szCs w:val="16"/>
                <w:lang w:eastAsia="pt-BR"/>
              </w:rPr>
            </w:pPr>
          </w:p>
        </w:tc>
        <w:tc>
          <w:tcPr>
            <w:tcW w:w="585" w:type="pct"/>
            <w:tcBorders>
              <w:top w:val="single" w:sz="4" w:space="0" w:color="auto"/>
              <w:left w:val="nil"/>
              <w:right w:val="nil"/>
            </w:tcBorders>
            <w:shd w:val="clear" w:color="auto" w:fill="auto"/>
            <w:vAlign w:val="bottom"/>
          </w:tcPr>
          <w:p w:rsidR="000D626B" w:rsidRPr="00282A26" w:rsidRDefault="000D626B" w:rsidP="00A0572A">
            <w:pPr>
              <w:rPr>
                <w:rFonts w:eastAsia="Times New Roman"/>
                <w:bCs/>
                <w:sz w:val="16"/>
                <w:szCs w:val="16"/>
                <w:lang w:eastAsia="pt-BR"/>
              </w:rPr>
            </w:pPr>
            <w:r>
              <w:rPr>
                <w:rFonts w:eastAsia="Times New Roman"/>
                <w:bCs/>
                <w:sz w:val="16"/>
                <w:szCs w:val="16"/>
                <w:lang w:eastAsia="pt-BR"/>
              </w:rPr>
              <w:t>------R$------</w:t>
            </w:r>
          </w:p>
        </w:tc>
        <w:tc>
          <w:tcPr>
            <w:tcW w:w="717" w:type="pct"/>
            <w:tcBorders>
              <w:top w:val="single" w:sz="4" w:space="0" w:color="auto"/>
              <w:left w:val="nil"/>
              <w:right w:val="nil"/>
            </w:tcBorders>
            <w:shd w:val="clear" w:color="auto" w:fill="auto"/>
            <w:vAlign w:val="bottom"/>
          </w:tcPr>
          <w:p w:rsidR="000D626B" w:rsidRPr="00282A26" w:rsidRDefault="000D626B" w:rsidP="00EC7ACA">
            <w:pPr>
              <w:jc w:val="center"/>
              <w:rPr>
                <w:rFonts w:eastAsia="Times New Roman"/>
                <w:bCs/>
                <w:sz w:val="16"/>
                <w:szCs w:val="16"/>
                <w:lang w:eastAsia="pt-BR"/>
              </w:rPr>
            </w:pPr>
          </w:p>
        </w:tc>
        <w:tc>
          <w:tcPr>
            <w:tcW w:w="597" w:type="pct"/>
            <w:tcBorders>
              <w:top w:val="single" w:sz="4" w:space="0" w:color="auto"/>
              <w:left w:val="nil"/>
              <w:right w:val="nil"/>
            </w:tcBorders>
            <w:shd w:val="clear" w:color="auto" w:fill="auto"/>
            <w:vAlign w:val="bottom"/>
          </w:tcPr>
          <w:p w:rsidR="000D626B" w:rsidRPr="004017F8" w:rsidRDefault="000D626B" w:rsidP="00A0572A">
            <w:pPr>
              <w:rPr>
                <w:rFonts w:eastAsia="Times New Roman"/>
                <w:bCs/>
                <w:sz w:val="16"/>
                <w:szCs w:val="16"/>
                <w:lang w:eastAsia="pt-BR"/>
              </w:rPr>
            </w:pPr>
            <w:r>
              <w:rPr>
                <w:rFonts w:eastAsia="Times New Roman"/>
                <w:bCs/>
                <w:sz w:val="16"/>
                <w:szCs w:val="16"/>
                <w:lang w:eastAsia="pt-BR"/>
              </w:rPr>
              <w:t>----R$ ha</w:t>
            </w:r>
            <w:r w:rsidRPr="00D26D83">
              <w:rPr>
                <w:rFonts w:eastAsia="Times New Roman"/>
                <w:bCs/>
                <w:sz w:val="16"/>
                <w:szCs w:val="16"/>
                <w:vertAlign w:val="superscript"/>
                <w:lang w:eastAsia="pt-BR"/>
              </w:rPr>
              <w:t>-1</w:t>
            </w:r>
            <w:r>
              <w:rPr>
                <w:rFonts w:eastAsia="Times New Roman"/>
                <w:bCs/>
                <w:sz w:val="16"/>
                <w:szCs w:val="16"/>
                <w:lang w:eastAsia="pt-BR"/>
              </w:rPr>
              <w:t>---</w:t>
            </w:r>
          </w:p>
        </w:tc>
      </w:tr>
      <w:tr w:rsidR="000D626B" w:rsidRPr="00282A26" w:rsidTr="00B71566">
        <w:trPr>
          <w:trHeight w:val="300"/>
        </w:trPr>
        <w:tc>
          <w:tcPr>
            <w:tcW w:w="1203" w:type="pct"/>
            <w:tcBorders>
              <w:left w:val="nil"/>
              <w:bottom w:val="nil"/>
              <w:right w:val="nil"/>
            </w:tcBorders>
            <w:shd w:val="clear" w:color="auto" w:fill="auto"/>
            <w:vAlign w:val="bottom"/>
            <w:hideMark/>
          </w:tcPr>
          <w:p w:rsidR="000D626B" w:rsidRPr="00282A26" w:rsidRDefault="000D626B" w:rsidP="00EC7ACA">
            <w:pPr>
              <w:jc w:val="left"/>
              <w:rPr>
                <w:rFonts w:eastAsia="Times New Roman"/>
                <w:bCs/>
                <w:sz w:val="16"/>
                <w:szCs w:val="16"/>
                <w:lang w:eastAsia="pt-BR"/>
              </w:rPr>
            </w:pPr>
            <w:r w:rsidRPr="00282A26">
              <w:rPr>
                <w:rFonts w:eastAsia="Times New Roman"/>
                <w:bCs/>
                <w:sz w:val="16"/>
                <w:szCs w:val="16"/>
                <w:lang w:eastAsia="pt-BR"/>
              </w:rPr>
              <w:t>I. PREPARO DE SOLO</w:t>
            </w:r>
          </w:p>
        </w:tc>
        <w:tc>
          <w:tcPr>
            <w:tcW w:w="1287" w:type="pct"/>
            <w:tcBorders>
              <w:left w:val="nil"/>
              <w:bottom w:val="nil"/>
              <w:right w:val="nil"/>
            </w:tcBorders>
            <w:shd w:val="clear" w:color="auto" w:fill="auto"/>
            <w:vAlign w:val="bottom"/>
            <w:hideMark/>
          </w:tcPr>
          <w:p w:rsidR="000D626B" w:rsidRDefault="000D626B" w:rsidP="00EC7ACA">
            <w:pPr>
              <w:jc w:val="center"/>
              <w:rPr>
                <w:rFonts w:eastAsia="Times New Roman"/>
                <w:sz w:val="16"/>
                <w:szCs w:val="16"/>
                <w:lang w:eastAsia="pt-BR"/>
              </w:rPr>
            </w:pPr>
          </w:p>
        </w:tc>
        <w:tc>
          <w:tcPr>
            <w:tcW w:w="611" w:type="pct"/>
            <w:tcBorders>
              <w:left w:val="nil"/>
              <w:bottom w:val="nil"/>
              <w:right w:val="nil"/>
            </w:tcBorders>
            <w:shd w:val="clear" w:color="auto" w:fill="auto"/>
            <w:vAlign w:val="bottom"/>
            <w:hideMark/>
          </w:tcPr>
          <w:p w:rsidR="000D626B" w:rsidRDefault="000D626B" w:rsidP="00EC7ACA">
            <w:pPr>
              <w:jc w:val="center"/>
              <w:rPr>
                <w:rFonts w:eastAsia="Times New Roman"/>
                <w:sz w:val="16"/>
                <w:szCs w:val="16"/>
                <w:lang w:eastAsia="pt-BR"/>
              </w:rPr>
            </w:pPr>
          </w:p>
        </w:tc>
        <w:tc>
          <w:tcPr>
            <w:tcW w:w="585" w:type="pct"/>
            <w:tcBorders>
              <w:left w:val="nil"/>
              <w:bottom w:val="nil"/>
              <w:right w:val="nil"/>
            </w:tcBorders>
            <w:shd w:val="clear" w:color="auto" w:fill="auto"/>
            <w:vAlign w:val="bottom"/>
            <w:hideMark/>
          </w:tcPr>
          <w:p w:rsidR="000D626B" w:rsidRPr="00282A26" w:rsidRDefault="000D626B" w:rsidP="00EC7ACA">
            <w:pPr>
              <w:jc w:val="left"/>
              <w:rPr>
                <w:rFonts w:eastAsia="Times New Roman"/>
                <w:sz w:val="16"/>
                <w:szCs w:val="16"/>
                <w:lang w:eastAsia="pt-BR"/>
              </w:rPr>
            </w:pPr>
          </w:p>
        </w:tc>
        <w:tc>
          <w:tcPr>
            <w:tcW w:w="717" w:type="pct"/>
            <w:tcBorders>
              <w:left w:val="nil"/>
              <w:bottom w:val="nil"/>
              <w:right w:val="nil"/>
            </w:tcBorders>
            <w:shd w:val="clear" w:color="auto" w:fill="auto"/>
            <w:vAlign w:val="bottom"/>
            <w:hideMark/>
          </w:tcPr>
          <w:p w:rsidR="000D626B" w:rsidRPr="00282A26" w:rsidRDefault="000D626B" w:rsidP="00EC7ACA">
            <w:pPr>
              <w:jc w:val="left"/>
              <w:rPr>
                <w:rFonts w:eastAsia="Times New Roman"/>
                <w:sz w:val="16"/>
                <w:szCs w:val="16"/>
                <w:lang w:eastAsia="pt-BR"/>
              </w:rPr>
            </w:pPr>
          </w:p>
        </w:tc>
        <w:tc>
          <w:tcPr>
            <w:tcW w:w="597" w:type="pct"/>
            <w:tcBorders>
              <w:left w:val="nil"/>
              <w:bottom w:val="nil"/>
              <w:right w:val="nil"/>
            </w:tcBorders>
            <w:shd w:val="clear" w:color="auto" w:fill="auto"/>
            <w:vAlign w:val="bottom"/>
            <w:hideMark/>
          </w:tcPr>
          <w:p w:rsidR="000D626B" w:rsidRDefault="000D626B" w:rsidP="00EC7ACA">
            <w:pPr>
              <w:jc w:val="center"/>
              <w:rPr>
                <w:rFonts w:eastAsia="Times New Roman"/>
                <w:sz w:val="16"/>
                <w:szCs w:val="16"/>
                <w:lang w:eastAsia="pt-BR"/>
              </w:rPr>
            </w:pP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1.UMA </w:t>
            </w:r>
            <w:proofErr w:type="gramStart"/>
            <w:r w:rsidRPr="00282A26">
              <w:rPr>
                <w:rFonts w:eastAsia="Times New Roman"/>
                <w:sz w:val="16"/>
                <w:szCs w:val="16"/>
                <w:lang w:eastAsia="pt-BR"/>
              </w:rPr>
              <w:t>GRAD.(</w:t>
            </w:r>
            <w:proofErr w:type="gramEnd"/>
            <w:r w:rsidRPr="00282A26">
              <w:rPr>
                <w:rFonts w:eastAsia="Times New Roman"/>
                <w:sz w:val="16"/>
                <w:szCs w:val="16"/>
                <w:lang w:eastAsia="pt-BR"/>
              </w:rPr>
              <w:t xml:space="preserve">PESADA)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180HP + IMPL.</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74,05</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1,32</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97,75</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2.UMA ARAÇÃO</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180HP + IMPL.</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71,30</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1,98</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141,17</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3.UMA </w:t>
            </w:r>
            <w:proofErr w:type="gramStart"/>
            <w:r w:rsidRPr="00282A26">
              <w:rPr>
                <w:rFonts w:eastAsia="Times New Roman"/>
                <w:sz w:val="16"/>
                <w:szCs w:val="16"/>
                <w:lang w:eastAsia="pt-BR"/>
              </w:rPr>
              <w:t>GRAD.(</w:t>
            </w:r>
            <w:proofErr w:type="gramEnd"/>
            <w:r w:rsidRPr="00282A26">
              <w:rPr>
                <w:rFonts w:eastAsia="Times New Roman"/>
                <w:sz w:val="16"/>
                <w:szCs w:val="16"/>
                <w:lang w:eastAsia="pt-BR"/>
              </w:rPr>
              <w:t xml:space="preserve">PESADA)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180HP + IMPL.</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74,05</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1,32</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97,75</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4.UMA </w:t>
            </w:r>
            <w:proofErr w:type="gramStart"/>
            <w:r w:rsidRPr="00282A26">
              <w:rPr>
                <w:rFonts w:eastAsia="Times New Roman"/>
                <w:sz w:val="16"/>
                <w:szCs w:val="16"/>
                <w:lang w:eastAsia="pt-BR"/>
              </w:rPr>
              <w:t>GRAD.(</w:t>
            </w:r>
            <w:proofErr w:type="gramEnd"/>
            <w:r w:rsidRPr="00282A26">
              <w:rPr>
                <w:rFonts w:eastAsia="Times New Roman"/>
                <w:sz w:val="16"/>
                <w:szCs w:val="16"/>
                <w:lang w:eastAsia="pt-BR"/>
              </w:rPr>
              <w:t xml:space="preserve">LEVE)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180HP + IMPL.</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72,49</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0,85</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61,62</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5.MARCAÇ. CARREADOR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180HP</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66,80</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0,25</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16,70</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6. LEVANT. TERRAÇO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180HP + IMPL.</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68,37</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0,50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34,19</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7.APLIC. CALCÁRIO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100HP + M.O.+ IMPL.</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42,05</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0,84</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35,32</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8.CALCÁRIO</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DOLOMÍTICO</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t</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89,50</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2,00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179,00</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9.ADMINISTR. (10%)</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66,35</w:t>
            </w:r>
          </w:p>
        </w:tc>
      </w:tr>
      <w:tr w:rsidR="000D626B" w:rsidRPr="00282A26" w:rsidTr="00B71566">
        <w:trPr>
          <w:trHeight w:val="315"/>
        </w:trPr>
        <w:tc>
          <w:tcPr>
            <w:tcW w:w="1203" w:type="pct"/>
            <w:tcBorders>
              <w:top w:val="single" w:sz="4" w:space="0" w:color="auto"/>
              <w:left w:val="nil"/>
              <w:bottom w:val="single" w:sz="8" w:space="0" w:color="auto"/>
              <w:right w:val="nil"/>
            </w:tcBorders>
            <w:shd w:val="clear" w:color="auto" w:fill="auto"/>
            <w:noWrap/>
            <w:vAlign w:val="bottom"/>
            <w:hideMark/>
          </w:tcPr>
          <w:p w:rsidR="000D626B" w:rsidRPr="00282A26" w:rsidRDefault="000D626B" w:rsidP="00EC7ACA">
            <w:pPr>
              <w:jc w:val="left"/>
              <w:rPr>
                <w:rFonts w:eastAsia="Times New Roman"/>
                <w:bCs/>
                <w:sz w:val="16"/>
                <w:szCs w:val="16"/>
                <w:lang w:eastAsia="pt-BR"/>
              </w:rPr>
            </w:pPr>
            <w:r>
              <w:rPr>
                <w:rFonts w:eastAsia="Times New Roman"/>
                <w:bCs/>
                <w:sz w:val="16"/>
                <w:szCs w:val="16"/>
                <w:lang w:eastAsia="pt-BR"/>
              </w:rPr>
              <w:t>SUBTOTAL</w:t>
            </w:r>
          </w:p>
        </w:tc>
        <w:tc>
          <w:tcPr>
            <w:tcW w:w="1287" w:type="pct"/>
            <w:tcBorders>
              <w:top w:val="single" w:sz="4" w:space="0" w:color="auto"/>
              <w:left w:val="nil"/>
              <w:bottom w:val="single" w:sz="8" w:space="0" w:color="auto"/>
              <w:right w:val="nil"/>
            </w:tcBorders>
            <w:shd w:val="clear" w:color="auto" w:fill="auto"/>
            <w:noWrap/>
            <w:vAlign w:val="bottom"/>
            <w:hideMark/>
          </w:tcPr>
          <w:p w:rsidR="000D626B" w:rsidRDefault="000D626B" w:rsidP="00EC7ACA">
            <w:pPr>
              <w:jc w:val="center"/>
              <w:rPr>
                <w:rFonts w:eastAsia="Times New Roman"/>
                <w:sz w:val="16"/>
                <w:szCs w:val="16"/>
                <w:lang w:eastAsia="pt-BR"/>
              </w:rPr>
            </w:pPr>
          </w:p>
        </w:tc>
        <w:tc>
          <w:tcPr>
            <w:tcW w:w="611" w:type="pct"/>
            <w:tcBorders>
              <w:top w:val="single" w:sz="4" w:space="0" w:color="auto"/>
              <w:left w:val="nil"/>
              <w:bottom w:val="single" w:sz="8" w:space="0" w:color="auto"/>
              <w:right w:val="nil"/>
            </w:tcBorders>
            <w:shd w:val="clear" w:color="auto" w:fill="auto"/>
            <w:noWrap/>
            <w:vAlign w:val="bottom"/>
            <w:hideMark/>
          </w:tcPr>
          <w:p w:rsidR="000D626B" w:rsidRDefault="000D626B" w:rsidP="00EC7ACA">
            <w:pPr>
              <w:jc w:val="center"/>
              <w:rPr>
                <w:rFonts w:eastAsia="Times New Roman"/>
                <w:sz w:val="16"/>
                <w:szCs w:val="16"/>
                <w:lang w:eastAsia="pt-BR"/>
              </w:rPr>
            </w:pPr>
          </w:p>
        </w:tc>
        <w:tc>
          <w:tcPr>
            <w:tcW w:w="585" w:type="pct"/>
            <w:tcBorders>
              <w:top w:val="single" w:sz="4" w:space="0" w:color="auto"/>
              <w:left w:val="nil"/>
              <w:bottom w:val="single" w:sz="8" w:space="0" w:color="auto"/>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w:t>
            </w:r>
          </w:p>
        </w:tc>
        <w:tc>
          <w:tcPr>
            <w:tcW w:w="717" w:type="pct"/>
            <w:tcBorders>
              <w:top w:val="single" w:sz="4" w:space="0" w:color="auto"/>
              <w:left w:val="nil"/>
              <w:bottom w:val="single" w:sz="8" w:space="0" w:color="auto"/>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 </w:t>
            </w:r>
          </w:p>
        </w:tc>
        <w:tc>
          <w:tcPr>
            <w:tcW w:w="597" w:type="pct"/>
            <w:tcBorders>
              <w:top w:val="single" w:sz="4" w:space="0" w:color="auto"/>
              <w:left w:val="nil"/>
              <w:bottom w:val="single" w:sz="8" w:space="0" w:color="auto"/>
              <w:right w:val="nil"/>
            </w:tcBorders>
            <w:shd w:val="clear" w:color="auto" w:fill="auto"/>
            <w:noWrap/>
            <w:vAlign w:val="bottom"/>
            <w:hideMark/>
          </w:tcPr>
          <w:p w:rsidR="000D626B" w:rsidRDefault="000D626B" w:rsidP="00EC7ACA">
            <w:pPr>
              <w:jc w:val="center"/>
              <w:rPr>
                <w:rFonts w:eastAsia="Times New Roman"/>
                <w:bCs/>
                <w:sz w:val="16"/>
                <w:szCs w:val="16"/>
                <w:lang w:eastAsia="pt-BR"/>
              </w:rPr>
            </w:pPr>
            <w:r w:rsidRPr="00282A26">
              <w:rPr>
                <w:rFonts w:eastAsia="Times New Roman"/>
                <w:bCs/>
                <w:sz w:val="16"/>
                <w:szCs w:val="16"/>
                <w:lang w:eastAsia="pt-BR"/>
              </w:rPr>
              <w:t>729,85</w:t>
            </w:r>
          </w:p>
        </w:tc>
      </w:tr>
      <w:tr w:rsidR="000D626B" w:rsidRPr="00282A26" w:rsidTr="00B71566">
        <w:trPr>
          <w:trHeight w:val="315"/>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bCs/>
                <w:sz w:val="16"/>
                <w:szCs w:val="16"/>
                <w:lang w:eastAsia="pt-BR"/>
              </w:rPr>
            </w:pPr>
            <w:r w:rsidRPr="00282A26">
              <w:rPr>
                <w:rFonts w:eastAsia="Times New Roman"/>
                <w:bCs/>
                <w:sz w:val="16"/>
                <w:szCs w:val="16"/>
                <w:lang w:eastAsia="pt-BR"/>
              </w:rPr>
              <w:t>II- PLANTIO</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1.SULCAÇÃO</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180HP + IMPL.</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74,12</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2,00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148,24</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2.ADUBO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05.25.25</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t</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1.305,00</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0,40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522,00</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3.CORTE MUDA (Limpa)</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MÃO-DE-OBRA</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t</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15,44</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16,00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247,04</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4.MUDA</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CANA - (</w:t>
            </w:r>
            <w:proofErr w:type="gramStart"/>
            <w:r w:rsidRPr="00282A26">
              <w:rPr>
                <w:rFonts w:eastAsia="Times New Roman"/>
                <w:sz w:val="16"/>
                <w:szCs w:val="16"/>
                <w:lang w:eastAsia="pt-BR"/>
              </w:rPr>
              <w:t>17 :</w:t>
            </w:r>
            <w:proofErr w:type="gramEnd"/>
            <w:r w:rsidRPr="00282A26">
              <w:rPr>
                <w:rFonts w:eastAsia="Times New Roman"/>
                <w:sz w:val="16"/>
                <w:szCs w:val="16"/>
                <w:lang w:eastAsia="pt-BR"/>
              </w:rPr>
              <w:t xml:space="preserve"> 1)</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t</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120</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16,00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1.920,00</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5.CARREG. MUDA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CARREG. M.F. 290</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t</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2,63</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16,00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42,00</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6. TRANSP. MUDA</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MB 23-18 (5,0KM)</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t</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5,49</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16,00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87,84</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7.DESC/</w:t>
            </w:r>
            <w:proofErr w:type="gramStart"/>
            <w:r w:rsidRPr="00282A26">
              <w:rPr>
                <w:rFonts w:eastAsia="Times New Roman"/>
                <w:sz w:val="16"/>
                <w:szCs w:val="16"/>
                <w:lang w:eastAsia="pt-BR"/>
              </w:rPr>
              <w:t>ESPAR./</w:t>
            </w:r>
            <w:proofErr w:type="gramEnd"/>
            <w:r w:rsidRPr="00282A26">
              <w:rPr>
                <w:rFonts w:eastAsia="Times New Roman"/>
                <w:sz w:val="16"/>
                <w:szCs w:val="16"/>
                <w:lang w:eastAsia="pt-BR"/>
              </w:rPr>
              <w:t xml:space="preserve">REPIC.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MÃO-DE-OBRA</w:t>
            </w:r>
          </w:p>
        </w:tc>
        <w:tc>
          <w:tcPr>
            <w:tcW w:w="611" w:type="pct"/>
            <w:tcBorders>
              <w:top w:val="nil"/>
              <w:left w:val="nil"/>
              <w:bottom w:val="nil"/>
              <w:right w:val="nil"/>
            </w:tcBorders>
            <w:shd w:val="clear" w:color="auto" w:fill="auto"/>
            <w:noWrap/>
            <w:vAlign w:val="bottom"/>
            <w:hideMark/>
          </w:tcPr>
          <w:p w:rsidR="000D626B" w:rsidRDefault="00603F98" w:rsidP="00EC7ACA">
            <w:pPr>
              <w:jc w:val="center"/>
              <w:rPr>
                <w:rFonts w:eastAsia="Times New Roman"/>
                <w:sz w:val="16"/>
                <w:szCs w:val="16"/>
                <w:lang w:eastAsia="pt-BR"/>
              </w:rPr>
            </w:pPr>
            <w:proofErr w:type="gramStart"/>
            <w:r>
              <w:rPr>
                <w:rFonts w:eastAsia="Times New Roman"/>
                <w:sz w:val="16"/>
                <w:szCs w:val="16"/>
                <w:lang w:eastAsia="pt-BR"/>
              </w:rPr>
              <w:t>m</w:t>
            </w:r>
            <w:r w:rsidR="000D626B" w:rsidRPr="00282A26">
              <w:rPr>
                <w:rFonts w:eastAsia="Times New Roman"/>
                <w:sz w:val="16"/>
                <w:szCs w:val="16"/>
                <w:lang w:eastAsia="pt-BR"/>
              </w:rPr>
              <w:t>ão</w:t>
            </w:r>
            <w:proofErr w:type="gramEnd"/>
            <w:r>
              <w:rPr>
                <w:rFonts w:eastAsia="Times New Roman"/>
                <w:sz w:val="16"/>
                <w:szCs w:val="16"/>
                <w:lang w:eastAsia="pt-BR"/>
              </w:rPr>
              <w:t>-</w:t>
            </w:r>
            <w:r w:rsidR="000D626B" w:rsidRPr="00282A26">
              <w:rPr>
                <w:rFonts w:eastAsia="Times New Roman"/>
                <w:sz w:val="16"/>
                <w:szCs w:val="16"/>
                <w:lang w:eastAsia="pt-BR"/>
              </w:rPr>
              <w:t>de</w:t>
            </w:r>
            <w:r>
              <w:rPr>
                <w:rFonts w:eastAsia="Times New Roman"/>
                <w:sz w:val="16"/>
                <w:szCs w:val="16"/>
                <w:lang w:eastAsia="pt-BR"/>
              </w:rPr>
              <w:t>-</w:t>
            </w:r>
            <w:r w:rsidR="000D626B" w:rsidRPr="00282A26">
              <w:rPr>
                <w:rFonts w:eastAsia="Times New Roman"/>
                <w:sz w:val="16"/>
                <w:szCs w:val="16"/>
                <w:lang w:eastAsia="pt-BR"/>
              </w:rPr>
              <w:t>obra</w:t>
            </w:r>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49,76</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 xml:space="preserve">6,00  . </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298,53</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8.ACABAM. E RECOBR.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MÃO-DE-OBRA</w:t>
            </w:r>
          </w:p>
        </w:tc>
        <w:tc>
          <w:tcPr>
            <w:tcW w:w="611" w:type="pct"/>
            <w:tcBorders>
              <w:top w:val="nil"/>
              <w:left w:val="nil"/>
              <w:bottom w:val="nil"/>
              <w:right w:val="nil"/>
            </w:tcBorders>
            <w:shd w:val="clear" w:color="auto" w:fill="auto"/>
            <w:noWrap/>
            <w:vAlign w:val="bottom"/>
            <w:hideMark/>
          </w:tcPr>
          <w:p w:rsidR="000D626B" w:rsidRDefault="00603F98" w:rsidP="00EC7ACA">
            <w:pPr>
              <w:jc w:val="center"/>
              <w:rPr>
                <w:rFonts w:eastAsia="Times New Roman"/>
                <w:sz w:val="16"/>
                <w:szCs w:val="16"/>
                <w:lang w:eastAsia="pt-BR"/>
              </w:rPr>
            </w:pPr>
            <w:proofErr w:type="gramStart"/>
            <w:r>
              <w:rPr>
                <w:rFonts w:eastAsia="Times New Roman"/>
                <w:sz w:val="16"/>
                <w:szCs w:val="16"/>
                <w:lang w:eastAsia="pt-BR"/>
              </w:rPr>
              <w:t>m</w:t>
            </w:r>
            <w:r w:rsidR="000D626B" w:rsidRPr="00282A26">
              <w:rPr>
                <w:rFonts w:eastAsia="Times New Roman"/>
                <w:sz w:val="16"/>
                <w:szCs w:val="16"/>
                <w:lang w:eastAsia="pt-BR"/>
              </w:rPr>
              <w:t>ão</w:t>
            </w:r>
            <w:proofErr w:type="gramEnd"/>
            <w:r>
              <w:rPr>
                <w:rFonts w:eastAsia="Times New Roman"/>
                <w:sz w:val="16"/>
                <w:szCs w:val="16"/>
                <w:lang w:eastAsia="pt-BR"/>
              </w:rPr>
              <w:t>-</w:t>
            </w:r>
            <w:r w:rsidR="000D626B" w:rsidRPr="00282A26">
              <w:rPr>
                <w:rFonts w:eastAsia="Times New Roman"/>
                <w:sz w:val="16"/>
                <w:szCs w:val="16"/>
                <w:lang w:eastAsia="pt-BR"/>
              </w:rPr>
              <w:t>de</w:t>
            </w:r>
            <w:r>
              <w:rPr>
                <w:rFonts w:eastAsia="Times New Roman"/>
                <w:sz w:val="16"/>
                <w:szCs w:val="16"/>
                <w:lang w:eastAsia="pt-BR"/>
              </w:rPr>
              <w:t>-</w:t>
            </w:r>
            <w:r w:rsidR="000D626B" w:rsidRPr="00282A26">
              <w:rPr>
                <w:rFonts w:eastAsia="Times New Roman"/>
                <w:sz w:val="16"/>
                <w:szCs w:val="16"/>
                <w:lang w:eastAsia="pt-BR"/>
              </w:rPr>
              <w:t>obra</w:t>
            </w:r>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48,26</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3,00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144,77</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9.COBRIÇAO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TR 100HP + M.O.+IMPL.</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38,2</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1,00</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38,20</w:t>
            </w:r>
          </w:p>
        </w:tc>
      </w:tr>
      <w:tr w:rsidR="000D626B" w:rsidRPr="00282A26" w:rsidTr="00B71566">
        <w:trPr>
          <w:trHeight w:val="300"/>
        </w:trPr>
        <w:tc>
          <w:tcPr>
            <w:tcW w:w="1203" w:type="pct"/>
            <w:tcBorders>
              <w:top w:val="nil"/>
              <w:left w:val="nil"/>
              <w:bottom w:val="nil"/>
              <w:right w:val="nil"/>
            </w:tcBorders>
            <w:shd w:val="clear" w:color="auto" w:fill="auto"/>
            <w:noWrap/>
            <w:vAlign w:val="bottom"/>
            <w:hideMark/>
          </w:tcPr>
          <w:p w:rsidR="000D626B" w:rsidRPr="00282A26" w:rsidRDefault="000D626B" w:rsidP="00EC7ACA">
            <w:pPr>
              <w:jc w:val="left"/>
              <w:rPr>
                <w:rFonts w:eastAsia="Times New Roman"/>
                <w:sz w:val="16"/>
                <w:szCs w:val="16"/>
                <w:lang w:eastAsia="pt-BR"/>
              </w:rPr>
            </w:pPr>
            <w:r w:rsidRPr="00282A26">
              <w:rPr>
                <w:rFonts w:eastAsia="Times New Roman"/>
                <w:sz w:val="16"/>
                <w:szCs w:val="16"/>
                <w:lang w:eastAsia="pt-BR"/>
              </w:rPr>
              <w:t xml:space="preserve">9.1 CUPINICIDA </w:t>
            </w:r>
          </w:p>
        </w:tc>
        <w:tc>
          <w:tcPr>
            <w:tcW w:w="128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REGENT 800WG</w:t>
            </w:r>
          </w:p>
        </w:tc>
        <w:tc>
          <w:tcPr>
            <w:tcW w:w="611"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proofErr w:type="gramStart"/>
            <w:r>
              <w:rPr>
                <w:rFonts w:eastAsia="Times New Roman"/>
                <w:sz w:val="16"/>
                <w:szCs w:val="16"/>
                <w:lang w:eastAsia="pt-BR"/>
              </w:rPr>
              <w:t>kg</w:t>
            </w:r>
            <w:proofErr w:type="gramEnd"/>
          </w:p>
        </w:tc>
        <w:tc>
          <w:tcPr>
            <w:tcW w:w="585"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700</w:t>
            </w:r>
          </w:p>
        </w:tc>
        <w:tc>
          <w:tcPr>
            <w:tcW w:w="717" w:type="pct"/>
            <w:tcBorders>
              <w:top w:val="nil"/>
              <w:left w:val="nil"/>
              <w:bottom w:val="nil"/>
              <w:right w:val="nil"/>
            </w:tcBorders>
            <w:shd w:val="clear" w:color="auto" w:fill="auto"/>
            <w:noWrap/>
            <w:vAlign w:val="bottom"/>
            <w:hideMark/>
          </w:tcPr>
          <w:p w:rsidR="000D626B" w:rsidRPr="00282A26" w:rsidRDefault="000D626B" w:rsidP="00EC7ACA">
            <w:pPr>
              <w:jc w:val="center"/>
              <w:rPr>
                <w:rFonts w:eastAsia="Times New Roman"/>
                <w:sz w:val="16"/>
                <w:szCs w:val="16"/>
                <w:lang w:eastAsia="pt-BR"/>
              </w:rPr>
            </w:pPr>
            <w:r w:rsidRPr="00282A26">
              <w:rPr>
                <w:rFonts w:eastAsia="Times New Roman"/>
                <w:sz w:val="16"/>
                <w:szCs w:val="16"/>
                <w:lang w:eastAsia="pt-BR"/>
              </w:rPr>
              <w:t>0,25</w:t>
            </w:r>
          </w:p>
        </w:tc>
        <w:tc>
          <w:tcPr>
            <w:tcW w:w="597" w:type="pct"/>
            <w:tcBorders>
              <w:top w:val="nil"/>
              <w:left w:val="nil"/>
              <w:bottom w:val="nil"/>
              <w:right w:val="nil"/>
            </w:tcBorders>
            <w:shd w:val="clear" w:color="auto" w:fill="auto"/>
            <w:noWrap/>
            <w:vAlign w:val="bottom"/>
            <w:hideMark/>
          </w:tcPr>
          <w:p w:rsidR="000D626B" w:rsidRDefault="000D626B" w:rsidP="00EC7ACA">
            <w:pPr>
              <w:jc w:val="center"/>
              <w:rPr>
                <w:rFonts w:eastAsia="Times New Roman"/>
                <w:sz w:val="16"/>
                <w:szCs w:val="16"/>
                <w:lang w:eastAsia="pt-BR"/>
              </w:rPr>
            </w:pPr>
            <w:r w:rsidRPr="00282A26">
              <w:rPr>
                <w:rFonts w:eastAsia="Times New Roman"/>
                <w:sz w:val="16"/>
                <w:szCs w:val="16"/>
                <w:lang w:eastAsia="pt-BR"/>
              </w:rPr>
              <w:t>175,00</w:t>
            </w:r>
          </w:p>
        </w:tc>
      </w:tr>
    </w:tbl>
    <w:p w:rsidR="00A0572A" w:rsidRDefault="00A0572A" w:rsidP="0040526B">
      <w:pPr>
        <w:spacing w:after="120" w:line="240" w:lineRule="auto"/>
      </w:pPr>
    </w:p>
    <w:p w:rsidR="0040526B" w:rsidRPr="005237DE" w:rsidRDefault="0040526B" w:rsidP="0040526B">
      <w:pPr>
        <w:spacing w:after="120" w:line="240" w:lineRule="auto"/>
      </w:pPr>
      <w:r w:rsidRPr="005237DE">
        <w:lastRenderedPageBreak/>
        <w:t>Tabela 1. Custo de produ</w:t>
      </w:r>
      <w:r>
        <w:t>ção para preparo de solo e plantio de cana-de-açúcar na safra 2014/2015 na região sudoeste do estado de São Paulo</w:t>
      </w:r>
      <w:r w:rsidRPr="005237DE">
        <w:t xml:space="preserve">     </w:t>
      </w:r>
    </w:p>
    <w:p w:rsidR="00B71566" w:rsidRDefault="0040526B" w:rsidP="00B71566">
      <w:pPr>
        <w:spacing w:line="360" w:lineRule="auto"/>
        <w:jc w:val="right"/>
        <w:rPr>
          <w:sz w:val="20"/>
          <w:shd w:val="clear" w:color="auto" w:fill="FFFFFF"/>
        </w:rPr>
      </w:pPr>
      <w:r>
        <w:rPr>
          <w:sz w:val="20"/>
          <w:shd w:val="clear" w:color="auto" w:fill="FFFFFF"/>
        </w:rPr>
        <w:t>(</w:t>
      </w:r>
      <w:proofErr w:type="gramStart"/>
      <w:r>
        <w:rPr>
          <w:sz w:val="20"/>
          <w:shd w:val="clear" w:color="auto" w:fill="FFFFFF"/>
        </w:rPr>
        <w:t>conclusão</w:t>
      </w:r>
      <w:proofErr w:type="gramEnd"/>
      <w:r>
        <w:rPr>
          <w:sz w:val="20"/>
          <w:shd w:val="clear" w:color="auto" w:fill="FFFFFF"/>
        </w:rPr>
        <w:t>)</w:t>
      </w:r>
    </w:p>
    <w:tbl>
      <w:tblPr>
        <w:tblW w:w="5000" w:type="pct"/>
        <w:tblCellMar>
          <w:left w:w="70" w:type="dxa"/>
          <w:right w:w="70" w:type="dxa"/>
        </w:tblCellMar>
        <w:tblLook w:val="04A0" w:firstRow="1" w:lastRow="0" w:firstColumn="1" w:lastColumn="0" w:noHBand="0" w:noVBand="1"/>
      </w:tblPr>
      <w:tblGrid>
        <w:gridCol w:w="1942"/>
        <w:gridCol w:w="2115"/>
        <w:gridCol w:w="1008"/>
        <w:gridCol w:w="1125"/>
        <w:gridCol w:w="1724"/>
        <w:gridCol w:w="730"/>
      </w:tblGrid>
      <w:tr w:rsidR="0040526B" w:rsidTr="005A05CB">
        <w:trPr>
          <w:trHeight w:val="300"/>
        </w:trPr>
        <w:tc>
          <w:tcPr>
            <w:tcW w:w="1133" w:type="pct"/>
            <w:tcBorders>
              <w:top w:val="nil"/>
              <w:left w:val="nil"/>
              <w:bottom w:val="nil"/>
              <w:right w:val="nil"/>
            </w:tcBorders>
            <w:shd w:val="clear" w:color="auto" w:fill="auto"/>
            <w:noWrap/>
            <w:vAlign w:val="bottom"/>
          </w:tcPr>
          <w:p w:rsidR="0040526B" w:rsidRPr="00282A26" w:rsidRDefault="0040526B" w:rsidP="0040526B">
            <w:pPr>
              <w:jc w:val="left"/>
              <w:rPr>
                <w:rFonts w:eastAsia="Times New Roman"/>
                <w:sz w:val="16"/>
                <w:szCs w:val="16"/>
                <w:lang w:eastAsia="pt-BR"/>
              </w:rPr>
            </w:pPr>
            <w:r w:rsidRPr="00282A26">
              <w:rPr>
                <w:rFonts w:eastAsia="Times New Roman"/>
                <w:bCs/>
                <w:sz w:val="16"/>
                <w:szCs w:val="16"/>
                <w:lang w:eastAsia="pt-BR"/>
              </w:rPr>
              <w:t>OPERAÇÃO</w:t>
            </w:r>
          </w:p>
        </w:tc>
        <w:tc>
          <w:tcPr>
            <w:tcW w:w="1045"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r w:rsidRPr="00282A26">
              <w:rPr>
                <w:rFonts w:eastAsia="Times New Roman"/>
                <w:bCs/>
                <w:sz w:val="16"/>
                <w:szCs w:val="16"/>
                <w:lang w:eastAsia="pt-BR"/>
              </w:rPr>
              <w:t>DESCRIÇÃO</w:t>
            </w:r>
          </w:p>
        </w:tc>
        <w:tc>
          <w:tcPr>
            <w:tcW w:w="588"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r w:rsidRPr="00282A26">
              <w:rPr>
                <w:rFonts w:eastAsia="Times New Roman"/>
                <w:bCs/>
                <w:sz w:val="16"/>
                <w:szCs w:val="16"/>
                <w:lang w:eastAsia="pt-BR"/>
              </w:rPr>
              <w:t>UNIDADE</w:t>
            </w:r>
          </w:p>
        </w:tc>
        <w:tc>
          <w:tcPr>
            <w:tcW w:w="656"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r w:rsidRPr="00282A26">
              <w:rPr>
                <w:rFonts w:eastAsia="Times New Roman"/>
                <w:bCs/>
                <w:sz w:val="16"/>
                <w:szCs w:val="16"/>
                <w:lang w:eastAsia="pt-BR"/>
              </w:rPr>
              <w:t>CUSTO UNID.</w:t>
            </w:r>
          </w:p>
        </w:tc>
        <w:tc>
          <w:tcPr>
            <w:tcW w:w="1005"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r w:rsidRPr="00282A26">
              <w:rPr>
                <w:rFonts w:eastAsia="Times New Roman"/>
                <w:bCs/>
                <w:sz w:val="16"/>
                <w:szCs w:val="16"/>
                <w:lang w:eastAsia="pt-BR"/>
              </w:rPr>
              <w:t>UNIDADE OPERAÇÃO</w:t>
            </w:r>
          </w:p>
        </w:tc>
        <w:tc>
          <w:tcPr>
            <w:tcW w:w="573"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r w:rsidRPr="00282A26">
              <w:rPr>
                <w:rFonts w:eastAsia="Times New Roman"/>
                <w:bCs/>
                <w:sz w:val="16"/>
                <w:szCs w:val="16"/>
                <w:lang w:eastAsia="pt-BR"/>
              </w:rPr>
              <w:t xml:space="preserve">TOTAL         </w:t>
            </w:r>
          </w:p>
        </w:tc>
      </w:tr>
      <w:tr w:rsidR="0040526B" w:rsidTr="005A05CB">
        <w:trPr>
          <w:trHeight w:val="300"/>
        </w:trPr>
        <w:tc>
          <w:tcPr>
            <w:tcW w:w="1133" w:type="pct"/>
            <w:tcBorders>
              <w:top w:val="nil"/>
              <w:left w:val="nil"/>
              <w:bottom w:val="nil"/>
              <w:right w:val="nil"/>
            </w:tcBorders>
            <w:shd w:val="clear" w:color="auto" w:fill="auto"/>
            <w:noWrap/>
            <w:vAlign w:val="bottom"/>
          </w:tcPr>
          <w:p w:rsidR="0040526B" w:rsidRPr="00282A26" w:rsidRDefault="0040526B" w:rsidP="0040526B">
            <w:pPr>
              <w:jc w:val="left"/>
              <w:rPr>
                <w:rFonts w:eastAsia="Times New Roman"/>
                <w:sz w:val="16"/>
                <w:szCs w:val="16"/>
                <w:lang w:eastAsia="pt-BR"/>
              </w:rPr>
            </w:pPr>
          </w:p>
        </w:tc>
        <w:tc>
          <w:tcPr>
            <w:tcW w:w="1045"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p>
        </w:tc>
        <w:tc>
          <w:tcPr>
            <w:tcW w:w="588"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p>
        </w:tc>
        <w:tc>
          <w:tcPr>
            <w:tcW w:w="656"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r>
              <w:rPr>
                <w:rFonts w:eastAsia="Times New Roman"/>
                <w:bCs/>
                <w:sz w:val="16"/>
                <w:szCs w:val="16"/>
                <w:lang w:eastAsia="pt-BR"/>
              </w:rPr>
              <w:t>------R$------</w:t>
            </w:r>
          </w:p>
        </w:tc>
        <w:tc>
          <w:tcPr>
            <w:tcW w:w="1005" w:type="pct"/>
            <w:tcBorders>
              <w:top w:val="nil"/>
              <w:left w:val="nil"/>
              <w:bottom w:val="nil"/>
              <w:right w:val="nil"/>
            </w:tcBorders>
            <w:shd w:val="clear" w:color="auto" w:fill="auto"/>
            <w:noWrap/>
            <w:vAlign w:val="bottom"/>
          </w:tcPr>
          <w:p w:rsidR="0040526B" w:rsidRPr="00282A26" w:rsidRDefault="0040526B" w:rsidP="0040526B">
            <w:pPr>
              <w:jc w:val="center"/>
              <w:rPr>
                <w:rFonts w:eastAsia="Times New Roman"/>
                <w:sz w:val="16"/>
                <w:szCs w:val="16"/>
                <w:lang w:eastAsia="pt-BR"/>
              </w:rPr>
            </w:pPr>
          </w:p>
        </w:tc>
        <w:tc>
          <w:tcPr>
            <w:tcW w:w="573" w:type="pct"/>
            <w:tcBorders>
              <w:top w:val="nil"/>
              <w:left w:val="nil"/>
              <w:bottom w:val="nil"/>
              <w:right w:val="nil"/>
            </w:tcBorders>
            <w:shd w:val="clear" w:color="auto" w:fill="auto"/>
            <w:noWrap/>
            <w:vAlign w:val="bottom"/>
          </w:tcPr>
          <w:p w:rsidR="0040526B" w:rsidRPr="00282A26" w:rsidRDefault="0040526B" w:rsidP="0004394A">
            <w:pPr>
              <w:rPr>
                <w:rFonts w:eastAsia="Times New Roman"/>
                <w:sz w:val="16"/>
                <w:szCs w:val="16"/>
                <w:lang w:eastAsia="pt-BR"/>
              </w:rPr>
            </w:pPr>
            <w:r>
              <w:rPr>
                <w:rFonts w:eastAsia="Times New Roman"/>
                <w:bCs/>
                <w:sz w:val="16"/>
                <w:szCs w:val="16"/>
                <w:lang w:eastAsia="pt-BR"/>
              </w:rPr>
              <w:t>-R$ ha</w:t>
            </w:r>
            <w:r w:rsidRPr="00D26D83">
              <w:rPr>
                <w:rFonts w:eastAsia="Times New Roman"/>
                <w:bCs/>
                <w:sz w:val="16"/>
                <w:szCs w:val="16"/>
                <w:vertAlign w:val="superscript"/>
                <w:lang w:eastAsia="pt-BR"/>
              </w:rPr>
              <w:t>-1</w:t>
            </w:r>
          </w:p>
        </w:tc>
      </w:tr>
      <w:tr w:rsidR="005A05CB" w:rsidTr="005A05CB">
        <w:trPr>
          <w:trHeight w:val="300"/>
        </w:trPr>
        <w:tc>
          <w:tcPr>
            <w:tcW w:w="1133" w:type="pct"/>
            <w:tcBorders>
              <w:top w:val="nil"/>
              <w:left w:val="nil"/>
              <w:bottom w:val="nil"/>
              <w:right w:val="nil"/>
            </w:tcBorders>
            <w:shd w:val="clear" w:color="auto" w:fill="auto"/>
            <w:noWrap/>
            <w:vAlign w:val="bottom"/>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xml:space="preserve">10.APLIC. HERBICIDA </w:t>
            </w:r>
          </w:p>
        </w:tc>
        <w:tc>
          <w:tcPr>
            <w:tcW w:w="1045"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TR 100HP + M.O.+ IMPL.</w:t>
            </w:r>
          </w:p>
        </w:tc>
        <w:tc>
          <w:tcPr>
            <w:tcW w:w="588" w:type="pct"/>
            <w:tcBorders>
              <w:top w:val="nil"/>
              <w:left w:val="nil"/>
              <w:bottom w:val="nil"/>
              <w:right w:val="nil"/>
            </w:tcBorders>
            <w:shd w:val="clear" w:color="auto" w:fill="auto"/>
            <w:noWrap/>
            <w:vAlign w:val="bottom"/>
          </w:tcPr>
          <w:p w:rsidR="005A05CB" w:rsidRDefault="005A05CB" w:rsidP="005A05CB">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656"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38,25</w:t>
            </w:r>
          </w:p>
        </w:tc>
        <w:tc>
          <w:tcPr>
            <w:tcW w:w="1005"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0,75</w:t>
            </w:r>
          </w:p>
        </w:tc>
        <w:tc>
          <w:tcPr>
            <w:tcW w:w="573"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28,69</w:t>
            </w:r>
          </w:p>
        </w:tc>
      </w:tr>
      <w:tr w:rsidR="005A05CB" w:rsidTr="005A05CB">
        <w:trPr>
          <w:trHeight w:val="300"/>
        </w:trPr>
        <w:tc>
          <w:tcPr>
            <w:tcW w:w="1133" w:type="pct"/>
            <w:tcBorders>
              <w:top w:val="nil"/>
              <w:left w:val="nil"/>
              <w:bottom w:val="nil"/>
              <w:right w:val="nil"/>
            </w:tcBorders>
            <w:shd w:val="clear" w:color="auto" w:fill="auto"/>
            <w:noWrap/>
            <w:vAlign w:val="bottom"/>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xml:space="preserve">11.HERBICIDA </w:t>
            </w:r>
          </w:p>
        </w:tc>
        <w:tc>
          <w:tcPr>
            <w:tcW w:w="1045"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 xml:space="preserve">THEBUT(2,4) + </w:t>
            </w:r>
            <w:proofErr w:type="gramStart"/>
            <w:r w:rsidRPr="00282A26">
              <w:rPr>
                <w:rFonts w:eastAsia="Times New Roman"/>
                <w:sz w:val="16"/>
                <w:szCs w:val="16"/>
                <w:lang w:eastAsia="pt-BR"/>
              </w:rPr>
              <w:t>AMETR.(</w:t>
            </w:r>
            <w:proofErr w:type="gramEnd"/>
            <w:r w:rsidRPr="00282A26">
              <w:rPr>
                <w:rFonts w:eastAsia="Times New Roman"/>
                <w:sz w:val="16"/>
                <w:szCs w:val="16"/>
                <w:lang w:eastAsia="pt-BR"/>
              </w:rPr>
              <w:t>3,0)</w:t>
            </w:r>
          </w:p>
        </w:tc>
        <w:tc>
          <w:tcPr>
            <w:tcW w:w="588" w:type="pct"/>
            <w:tcBorders>
              <w:top w:val="nil"/>
              <w:left w:val="nil"/>
              <w:bottom w:val="nil"/>
              <w:right w:val="nil"/>
            </w:tcBorders>
            <w:shd w:val="clear" w:color="auto" w:fill="auto"/>
            <w:noWrap/>
            <w:vAlign w:val="bottom"/>
          </w:tcPr>
          <w:p w:rsidR="005A05CB" w:rsidRDefault="005A05CB" w:rsidP="005A05CB">
            <w:pPr>
              <w:jc w:val="center"/>
              <w:rPr>
                <w:rFonts w:eastAsia="Times New Roman"/>
                <w:sz w:val="16"/>
                <w:szCs w:val="16"/>
                <w:lang w:eastAsia="pt-BR"/>
              </w:rPr>
            </w:pPr>
            <w:proofErr w:type="gramStart"/>
            <w:r w:rsidRPr="00282A26">
              <w:rPr>
                <w:rFonts w:eastAsia="Times New Roman"/>
                <w:sz w:val="16"/>
                <w:szCs w:val="16"/>
                <w:lang w:eastAsia="pt-BR"/>
              </w:rPr>
              <w:t>dose</w:t>
            </w:r>
            <w:proofErr w:type="gramEnd"/>
          </w:p>
        </w:tc>
        <w:tc>
          <w:tcPr>
            <w:tcW w:w="656"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107,4</w:t>
            </w:r>
          </w:p>
        </w:tc>
        <w:tc>
          <w:tcPr>
            <w:tcW w:w="1005"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1,00</w:t>
            </w:r>
          </w:p>
        </w:tc>
        <w:tc>
          <w:tcPr>
            <w:tcW w:w="573"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107,40</w:t>
            </w:r>
          </w:p>
        </w:tc>
      </w:tr>
      <w:tr w:rsidR="005A05CB" w:rsidTr="005A05CB">
        <w:trPr>
          <w:trHeight w:val="300"/>
        </w:trPr>
        <w:tc>
          <w:tcPr>
            <w:tcW w:w="1133" w:type="pct"/>
            <w:tcBorders>
              <w:top w:val="nil"/>
              <w:left w:val="nil"/>
              <w:bottom w:val="nil"/>
              <w:right w:val="nil"/>
            </w:tcBorders>
            <w:shd w:val="clear" w:color="auto" w:fill="auto"/>
            <w:noWrap/>
            <w:vAlign w:val="bottom"/>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xml:space="preserve">12.CONTROLE FORMIGA </w:t>
            </w:r>
          </w:p>
        </w:tc>
        <w:tc>
          <w:tcPr>
            <w:tcW w:w="1045"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BLITZ</w:t>
            </w:r>
          </w:p>
        </w:tc>
        <w:tc>
          <w:tcPr>
            <w:tcW w:w="588"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proofErr w:type="gramStart"/>
            <w:r>
              <w:rPr>
                <w:rFonts w:eastAsia="Times New Roman"/>
                <w:sz w:val="16"/>
                <w:szCs w:val="16"/>
                <w:lang w:eastAsia="pt-BR"/>
              </w:rPr>
              <w:t>kg</w:t>
            </w:r>
            <w:proofErr w:type="gramEnd"/>
          </w:p>
        </w:tc>
        <w:tc>
          <w:tcPr>
            <w:tcW w:w="656"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11,5</w:t>
            </w:r>
          </w:p>
        </w:tc>
        <w:tc>
          <w:tcPr>
            <w:tcW w:w="1005"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0,10</w:t>
            </w:r>
          </w:p>
        </w:tc>
        <w:tc>
          <w:tcPr>
            <w:tcW w:w="573" w:type="pct"/>
            <w:tcBorders>
              <w:top w:val="nil"/>
              <w:left w:val="nil"/>
              <w:bottom w:val="nil"/>
              <w:right w:val="nil"/>
            </w:tcBorders>
            <w:shd w:val="clear" w:color="auto" w:fill="auto"/>
            <w:noWrap/>
            <w:vAlign w:val="bottom"/>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1,15</w:t>
            </w:r>
          </w:p>
        </w:tc>
      </w:tr>
      <w:tr w:rsidR="0004394A" w:rsidTr="005A05CB">
        <w:trPr>
          <w:trHeight w:val="300"/>
        </w:trPr>
        <w:tc>
          <w:tcPr>
            <w:tcW w:w="1133" w:type="pct"/>
            <w:tcBorders>
              <w:top w:val="nil"/>
              <w:left w:val="nil"/>
              <w:bottom w:val="nil"/>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proofErr w:type="gramStart"/>
            <w:r w:rsidRPr="00282A26">
              <w:rPr>
                <w:rFonts w:eastAsia="Times New Roman"/>
                <w:sz w:val="16"/>
                <w:szCs w:val="16"/>
                <w:lang w:eastAsia="pt-BR"/>
              </w:rPr>
              <w:t>12.1 CONTROLE</w:t>
            </w:r>
            <w:proofErr w:type="gramEnd"/>
            <w:r w:rsidRPr="00282A26">
              <w:rPr>
                <w:rFonts w:eastAsia="Times New Roman"/>
                <w:sz w:val="16"/>
                <w:szCs w:val="16"/>
                <w:lang w:eastAsia="pt-BR"/>
              </w:rPr>
              <w:t xml:space="preserve"> BROCA </w:t>
            </w:r>
          </w:p>
        </w:tc>
        <w:tc>
          <w:tcPr>
            <w:tcW w:w="1045"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r w:rsidRPr="00282A26">
              <w:rPr>
                <w:rFonts w:eastAsia="Times New Roman"/>
                <w:sz w:val="16"/>
                <w:szCs w:val="16"/>
                <w:lang w:eastAsia="pt-BR"/>
              </w:rPr>
              <w:t>COTÉSIA</w:t>
            </w:r>
          </w:p>
        </w:tc>
        <w:tc>
          <w:tcPr>
            <w:tcW w:w="588"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proofErr w:type="gramStart"/>
            <w:r w:rsidRPr="00282A26">
              <w:rPr>
                <w:rFonts w:eastAsia="Times New Roman"/>
                <w:sz w:val="16"/>
                <w:szCs w:val="16"/>
                <w:lang w:eastAsia="pt-BR"/>
              </w:rPr>
              <w:t>copos</w:t>
            </w:r>
            <w:proofErr w:type="gramEnd"/>
          </w:p>
        </w:tc>
        <w:tc>
          <w:tcPr>
            <w:tcW w:w="656" w:type="pct"/>
            <w:tcBorders>
              <w:top w:val="nil"/>
              <w:left w:val="nil"/>
              <w:bottom w:val="nil"/>
              <w:right w:val="nil"/>
            </w:tcBorders>
            <w:shd w:val="clear" w:color="auto" w:fill="auto"/>
            <w:noWrap/>
            <w:vAlign w:val="bottom"/>
            <w:hideMark/>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3,2</w:t>
            </w:r>
          </w:p>
        </w:tc>
        <w:tc>
          <w:tcPr>
            <w:tcW w:w="1005" w:type="pct"/>
            <w:tcBorders>
              <w:top w:val="nil"/>
              <w:left w:val="nil"/>
              <w:bottom w:val="nil"/>
              <w:right w:val="nil"/>
            </w:tcBorders>
            <w:shd w:val="clear" w:color="auto" w:fill="auto"/>
            <w:noWrap/>
            <w:vAlign w:val="bottom"/>
            <w:hideMark/>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5,00</w:t>
            </w:r>
          </w:p>
        </w:tc>
        <w:tc>
          <w:tcPr>
            <w:tcW w:w="573"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r w:rsidRPr="00282A26">
              <w:rPr>
                <w:rFonts w:eastAsia="Times New Roman"/>
                <w:sz w:val="16"/>
                <w:szCs w:val="16"/>
                <w:lang w:eastAsia="pt-BR"/>
              </w:rPr>
              <w:t>16,00</w:t>
            </w:r>
          </w:p>
        </w:tc>
      </w:tr>
      <w:tr w:rsidR="0004394A" w:rsidTr="005A05CB">
        <w:trPr>
          <w:trHeight w:val="300"/>
        </w:trPr>
        <w:tc>
          <w:tcPr>
            <w:tcW w:w="1133" w:type="pct"/>
            <w:tcBorders>
              <w:top w:val="nil"/>
              <w:left w:val="nil"/>
              <w:bottom w:val="nil"/>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xml:space="preserve">13.CARPA </w:t>
            </w:r>
          </w:p>
        </w:tc>
        <w:tc>
          <w:tcPr>
            <w:tcW w:w="1045"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r w:rsidRPr="00282A26">
              <w:rPr>
                <w:rFonts w:eastAsia="Times New Roman"/>
                <w:sz w:val="16"/>
                <w:szCs w:val="16"/>
                <w:lang w:eastAsia="pt-BR"/>
              </w:rPr>
              <w:t>MÃO-DE-OBRA</w:t>
            </w:r>
          </w:p>
        </w:tc>
        <w:tc>
          <w:tcPr>
            <w:tcW w:w="588"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proofErr w:type="gramStart"/>
            <w:r>
              <w:rPr>
                <w:rFonts w:eastAsia="Times New Roman"/>
                <w:sz w:val="16"/>
                <w:szCs w:val="16"/>
                <w:lang w:eastAsia="pt-BR"/>
              </w:rPr>
              <w:t>m</w:t>
            </w:r>
            <w:r w:rsidRPr="00282A26">
              <w:rPr>
                <w:rFonts w:eastAsia="Times New Roman"/>
                <w:sz w:val="16"/>
                <w:szCs w:val="16"/>
                <w:lang w:eastAsia="pt-BR"/>
              </w:rPr>
              <w:t>ão</w:t>
            </w:r>
            <w:proofErr w:type="gramEnd"/>
            <w:r>
              <w:rPr>
                <w:rFonts w:eastAsia="Times New Roman"/>
                <w:sz w:val="16"/>
                <w:szCs w:val="16"/>
                <w:lang w:eastAsia="pt-BR"/>
              </w:rPr>
              <w:t>-</w:t>
            </w:r>
            <w:r w:rsidRPr="00282A26">
              <w:rPr>
                <w:rFonts w:eastAsia="Times New Roman"/>
                <w:sz w:val="16"/>
                <w:szCs w:val="16"/>
                <w:lang w:eastAsia="pt-BR"/>
              </w:rPr>
              <w:t>de</w:t>
            </w:r>
            <w:r>
              <w:rPr>
                <w:rFonts w:eastAsia="Times New Roman"/>
                <w:sz w:val="16"/>
                <w:szCs w:val="16"/>
                <w:lang w:eastAsia="pt-BR"/>
              </w:rPr>
              <w:t>-</w:t>
            </w:r>
            <w:r w:rsidRPr="00282A26">
              <w:rPr>
                <w:rFonts w:eastAsia="Times New Roman"/>
                <w:sz w:val="16"/>
                <w:szCs w:val="16"/>
                <w:lang w:eastAsia="pt-BR"/>
              </w:rPr>
              <w:t>obra</w:t>
            </w:r>
          </w:p>
        </w:tc>
        <w:tc>
          <w:tcPr>
            <w:tcW w:w="656" w:type="pct"/>
            <w:tcBorders>
              <w:top w:val="nil"/>
              <w:left w:val="nil"/>
              <w:bottom w:val="nil"/>
              <w:right w:val="nil"/>
            </w:tcBorders>
            <w:shd w:val="clear" w:color="auto" w:fill="auto"/>
            <w:noWrap/>
            <w:vAlign w:val="bottom"/>
            <w:hideMark/>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48,26</w:t>
            </w:r>
          </w:p>
        </w:tc>
        <w:tc>
          <w:tcPr>
            <w:tcW w:w="1005" w:type="pct"/>
            <w:tcBorders>
              <w:top w:val="nil"/>
              <w:left w:val="nil"/>
              <w:bottom w:val="nil"/>
              <w:right w:val="nil"/>
            </w:tcBorders>
            <w:shd w:val="clear" w:color="auto" w:fill="auto"/>
            <w:noWrap/>
            <w:vAlign w:val="bottom"/>
            <w:hideMark/>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2,68</w:t>
            </w:r>
          </w:p>
        </w:tc>
        <w:tc>
          <w:tcPr>
            <w:tcW w:w="573"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r w:rsidRPr="00282A26">
              <w:rPr>
                <w:rFonts w:eastAsia="Times New Roman"/>
                <w:sz w:val="16"/>
                <w:szCs w:val="16"/>
                <w:lang w:eastAsia="pt-BR"/>
              </w:rPr>
              <w:t>129,33</w:t>
            </w:r>
          </w:p>
        </w:tc>
      </w:tr>
      <w:tr w:rsidR="0004394A" w:rsidTr="005A05CB">
        <w:trPr>
          <w:trHeight w:val="300"/>
        </w:trPr>
        <w:tc>
          <w:tcPr>
            <w:tcW w:w="1133" w:type="pct"/>
            <w:tcBorders>
              <w:top w:val="nil"/>
              <w:left w:val="nil"/>
              <w:bottom w:val="nil"/>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xml:space="preserve">14.QUEBRA-LOMBO </w:t>
            </w:r>
          </w:p>
        </w:tc>
        <w:tc>
          <w:tcPr>
            <w:tcW w:w="1045"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r w:rsidRPr="00282A26">
              <w:rPr>
                <w:rFonts w:eastAsia="Times New Roman"/>
                <w:sz w:val="16"/>
                <w:szCs w:val="16"/>
                <w:lang w:eastAsia="pt-BR"/>
              </w:rPr>
              <w:t>TR 100HP+ M.O.+IMPL.</w:t>
            </w:r>
          </w:p>
        </w:tc>
        <w:tc>
          <w:tcPr>
            <w:tcW w:w="588"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proofErr w:type="gramStart"/>
            <w:r w:rsidRPr="00282A26">
              <w:rPr>
                <w:rFonts w:eastAsia="Times New Roman"/>
                <w:sz w:val="16"/>
                <w:szCs w:val="16"/>
                <w:lang w:eastAsia="pt-BR"/>
              </w:rPr>
              <w:t>h</w:t>
            </w:r>
            <w:proofErr w:type="gramEnd"/>
          </w:p>
        </w:tc>
        <w:tc>
          <w:tcPr>
            <w:tcW w:w="656" w:type="pct"/>
            <w:tcBorders>
              <w:top w:val="nil"/>
              <w:left w:val="nil"/>
              <w:bottom w:val="nil"/>
              <w:right w:val="nil"/>
            </w:tcBorders>
            <w:shd w:val="clear" w:color="auto" w:fill="auto"/>
            <w:noWrap/>
            <w:vAlign w:val="bottom"/>
            <w:hideMark/>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34,44</w:t>
            </w:r>
          </w:p>
        </w:tc>
        <w:tc>
          <w:tcPr>
            <w:tcW w:w="1005" w:type="pct"/>
            <w:tcBorders>
              <w:top w:val="nil"/>
              <w:left w:val="nil"/>
              <w:bottom w:val="nil"/>
              <w:right w:val="nil"/>
            </w:tcBorders>
            <w:shd w:val="clear" w:color="auto" w:fill="auto"/>
            <w:noWrap/>
            <w:vAlign w:val="bottom"/>
            <w:hideMark/>
          </w:tcPr>
          <w:p w:rsidR="005A05CB" w:rsidRPr="00282A26" w:rsidRDefault="005A05CB" w:rsidP="005A05CB">
            <w:pPr>
              <w:jc w:val="center"/>
              <w:rPr>
                <w:rFonts w:eastAsia="Times New Roman"/>
                <w:sz w:val="16"/>
                <w:szCs w:val="16"/>
                <w:lang w:eastAsia="pt-BR"/>
              </w:rPr>
            </w:pPr>
            <w:r w:rsidRPr="00282A26">
              <w:rPr>
                <w:rFonts w:eastAsia="Times New Roman"/>
                <w:sz w:val="16"/>
                <w:szCs w:val="16"/>
                <w:lang w:eastAsia="pt-BR"/>
              </w:rPr>
              <w:t>1,80</w:t>
            </w:r>
          </w:p>
        </w:tc>
        <w:tc>
          <w:tcPr>
            <w:tcW w:w="573"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r w:rsidRPr="00282A26">
              <w:rPr>
                <w:rFonts w:eastAsia="Times New Roman"/>
                <w:sz w:val="16"/>
                <w:szCs w:val="16"/>
                <w:lang w:eastAsia="pt-BR"/>
              </w:rPr>
              <w:t>61,99</w:t>
            </w:r>
          </w:p>
        </w:tc>
      </w:tr>
      <w:tr w:rsidR="0004394A" w:rsidTr="005A05CB">
        <w:trPr>
          <w:trHeight w:val="300"/>
        </w:trPr>
        <w:tc>
          <w:tcPr>
            <w:tcW w:w="1133" w:type="pct"/>
            <w:tcBorders>
              <w:top w:val="nil"/>
              <w:left w:val="nil"/>
              <w:bottom w:val="nil"/>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15.ADMINISTR. (10%)</w:t>
            </w:r>
          </w:p>
        </w:tc>
        <w:tc>
          <w:tcPr>
            <w:tcW w:w="1045"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p>
        </w:tc>
        <w:tc>
          <w:tcPr>
            <w:tcW w:w="588"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p>
        </w:tc>
        <w:tc>
          <w:tcPr>
            <w:tcW w:w="656" w:type="pct"/>
            <w:tcBorders>
              <w:top w:val="nil"/>
              <w:left w:val="nil"/>
              <w:bottom w:val="nil"/>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p>
        </w:tc>
        <w:tc>
          <w:tcPr>
            <w:tcW w:w="1005" w:type="pct"/>
            <w:tcBorders>
              <w:top w:val="nil"/>
              <w:left w:val="nil"/>
              <w:bottom w:val="nil"/>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p>
        </w:tc>
        <w:tc>
          <w:tcPr>
            <w:tcW w:w="573" w:type="pct"/>
            <w:tcBorders>
              <w:top w:val="nil"/>
              <w:left w:val="nil"/>
              <w:bottom w:val="nil"/>
              <w:right w:val="nil"/>
            </w:tcBorders>
            <w:shd w:val="clear" w:color="auto" w:fill="auto"/>
            <w:noWrap/>
            <w:vAlign w:val="bottom"/>
            <w:hideMark/>
          </w:tcPr>
          <w:p w:rsidR="005A05CB" w:rsidRDefault="005A05CB" w:rsidP="005A05CB">
            <w:pPr>
              <w:jc w:val="center"/>
              <w:rPr>
                <w:rFonts w:eastAsia="Times New Roman"/>
                <w:sz w:val="16"/>
                <w:szCs w:val="16"/>
                <w:lang w:eastAsia="pt-BR"/>
              </w:rPr>
            </w:pPr>
            <w:r w:rsidRPr="00282A26">
              <w:rPr>
                <w:rFonts w:eastAsia="Times New Roman"/>
                <w:sz w:val="16"/>
                <w:szCs w:val="16"/>
                <w:lang w:eastAsia="pt-BR"/>
              </w:rPr>
              <w:t>396,82</w:t>
            </w:r>
          </w:p>
        </w:tc>
      </w:tr>
      <w:tr w:rsidR="0004394A" w:rsidTr="005A05CB">
        <w:trPr>
          <w:trHeight w:hRule="exact" w:val="284"/>
        </w:trPr>
        <w:tc>
          <w:tcPr>
            <w:tcW w:w="1133" w:type="pct"/>
            <w:tcBorders>
              <w:top w:val="single" w:sz="4" w:space="0" w:color="auto"/>
              <w:left w:val="nil"/>
              <w:bottom w:val="single" w:sz="8" w:space="0" w:color="auto"/>
              <w:right w:val="nil"/>
            </w:tcBorders>
            <w:shd w:val="clear" w:color="auto" w:fill="auto"/>
            <w:noWrap/>
            <w:vAlign w:val="bottom"/>
            <w:hideMark/>
          </w:tcPr>
          <w:p w:rsidR="005A05CB" w:rsidRPr="00282A26" w:rsidRDefault="005A05CB" w:rsidP="005A05CB">
            <w:pPr>
              <w:jc w:val="left"/>
              <w:rPr>
                <w:rFonts w:eastAsia="Times New Roman"/>
                <w:bCs/>
                <w:sz w:val="16"/>
                <w:szCs w:val="16"/>
                <w:lang w:eastAsia="pt-BR"/>
              </w:rPr>
            </w:pPr>
            <w:r>
              <w:rPr>
                <w:rFonts w:eastAsia="Times New Roman"/>
                <w:bCs/>
                <w:sz w:val="16"/>
                <w:szCs w:val="16"/>
                <w:lang w:eastAsia="pt-BR"/>
              </w:rPr>
              <w:t>SUBTOTAL</w:t>
            </w:r>
          </w:p>
        </w:tc>
        <w:tc>
          <w:tcPr>
            <w:tcW w:w="1045" w:type="pct"/>
            <w:tcBorders>
              <w:top w:val="single" w:sz="4" w:space="0" w:color="auto"/>
              <w:left w:val="nil"/>
              <w:bottom w:val="single" w:sz="8" w:space="0" w:color="auto"/>
              <w:right w:val="nil"/>
            </w:tcBorders>
            <w:shd w:val="clear" w:color="auto" w:fill="auto"/>
            <w:noWrap/>
            <w:vAlign w:val="bottom"/>
            <w:hideMark/>
          </w:tcPr>
          <w:p w:rsidR="005A05CB" w:rsidRDefault="005A05CB" w:rsidP="005A05CB">
            <w:pPr>
              <w:jc w:val="center"/>
              <w:rPr>
                <w:rFonts w:eastAsia="Times New Roman"/>
                <w:sz w:val="16"/>
                <w:szCs w:val="16"/>
                <w:lang w:eastAsia="pt-BR"/>
              </w:rPr>
            </w:pPr>
          </w:p>
        </w:tc>
        <w:tc>
          <w:tcPr>
            <w:tcW w:w="588" w:type="pct"/>
            <w:tcBorders>
              <w:top w:val="single" w:sz="4" w:space="0" w:color="auto"/>
              <w:left w:val="nil"/>
              <w:bottom w:val="single" w:sz="8" w:space="0" w:color="auto"/>
              <w:right w:val="nil"/>
            </w:tcBorders>
            <w:shd w:val="clear" w:color="auto" w:fill="auto"/>
            <w:noWrap/>
            <w:vAlign w:val="bottom"/>
            <w:hideMark/>
          </w:tcPr>
          <w:p w:rsidR="005A05CB" w:rsidRDefault="005A05CB" w:rsidP="005A05CB">
            <w:pPr>
              <w:jc w:val="center"/>
              <w:rPr>
                <w:rFonts w:eastAsia="Times New Roman"/>
                <w:sz w:val="16"/>
                <w:szCs w:val="16"/>
                <w:lang w:eastAsia="pt-BR"/>
              </w:rPr>
            </w:pPr>
          </w:p>
        </w:tc>
        <w:tc>
          <w:tcPr>
            <w:tcW w:w="656" w:type="pct"/>
            <w:tcBorders>
              <w:top w:val="single" w:sz="4" w:space="0" w:color="auto"/>
              <w:left w:val="nil"/>
              <w:bottom w:val="single" w:sz="8" w:space="0" w:color="auto"/>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w:t>
            </w:r>
          </w:p>
        </w:tc>
        <w:tc>
          <w:tcPr>
            <w:tcW w:w="1005" w:type="pct"/>
            <w:tcBorders>
              <w:top w:val="single" w:sz="4" w:space="0" w:color="auto"/>
              <w:left w:val="nil"/>
              <w:bottom w:val="single" w:sz="8" w:space="0" w:color="auto"/>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w:t>
            </w:r>
          </w:p>
        </w:tc>
        <w:tc>
          <w:tcPr>
            <w:tcW w:w="573" w:type="pct"/>
            <w:tcBorders>
              <w:top w:val="single" w:sz="4" w:space="0" w:color="auto"/>
              <w:left w:val="nil"/>
              <w:bottom w:val="single" w:sz="8" w:space="0" w:color="auto"/>
              <w:right w:val="nil"/>
            </w:tcBorders>
            <w:shd w:val="clear" w:color="auto" w:fill="auto"/>
            <w:noWrap/>
            <w:vAlign w:val="bottom"/>
            <w:hideMark/>
          </w:tcPr>
          <w:p w:rsidR="005A05CB" w:rsidRDefault="005A05CB" w:rsidP="005A05CB">
            <w:pPr>
              <w:jc w:val="center"/>
              <w:rPr>
                <w:rFonts w:eastAsia="Times New Roman"/>
                <w:bCs/>
                <w:sz w:val="16"/>
                <w:szCs w:val="16"/>
                <w:lang w:eastAsia="pt-BR"/>
              </w:rPr>
            </w:pPr>
            <w:r w:rsidRPr="00282A26">
              <w:rPr>
                <w:rFonts w:eastAsia="Times New Roman"/>
                <w:bCs/>
                <w:sz w:val="16"/>
                <w:szCs w:val="16"/>
                <w:lang w:eastAsia="pt-BR"/>
              </w:rPr>
              <w:t>4.365,00</w:t>
            </w:r>
          </w:p>
        </w:tc>
      </w:tr>
      <w:tr w:rsidR="0004394A" w:rsidTr="005A05CB">
        <w:trPr>
          <w:trHeight w:hRule="exact" w:val="284"/>
        </w:trPr>
        <w:tc>
          <w:tcPr>
            <w:tcW w:w="1133" w:type="pct"/>
            <w:tcBorders>
              <w:top w:val="single" w:sz="4" w:space="0" w:color="auto"/>
              <w:left w:val="nil"/>
              <w:bottom w:val="single" w:sz="8" w:space="0" w:color="auto"/>
              <w:right w:val="nil"/>
            </w:tcBorders>
            <w:shd w:val="clear" w:color="auto" w:fill="auto"/>
            <w:noWrap/>
            <w:vAlign w:val="bottom"/>
            <w:hideMark/>
          </w:tcPr>
          <w:p w:rsidR="005A05CB" w:rsidRPr="00282A26" w:rsidRDefault="005A05CB" w:rsidP="005A05CB">
            <w:pPr>
              <w:jc w:val="left"/>
              <w:rPr>
                <w:rFonts w:eastAsia="Times New Roman"/>
                <w:bCs/>
                <w:sz w:val="16"/>
                <w:szCs w:val="16"/>
                <w:lang w:eastAsia="pt-BR"/>
              </w:rPr>
            </w:pPr>
            <w:r>
              <w:rPr>
                <w:rFonts w:eastAsia="Times New Roman"/>
                <w:bCs/>
                <w:sz w:val="16"/>
                <w:szCs w:val="16"/>
                <w:lang w:eastAsia="pt-BR"/>
              </w:rPr>
              <w:t>TOTAL</w:t>
            </w:r>
            <w:r w:rsidRPr="00282A26">
              <w:rPr>
                <w:rFonts w:eastAsia="Times New Roman"/>
                <w:bCs/>
                <w:sz w:val="16"/>
                <w:szCs w:val="16"/>
                <w:lang w:eastAsia="pt-BR"/>
              </w:rPr>
              <w:t xml:space="preserve"> </w:t>
            </w:r>
          </w:p>
        </w:tc>
        <w:tc>
          <w:tcPr>
            <w:tcW w:w="1045" w:type="pct"/>
            <w:tcBorders>
              <w:top w:val="single" w:sz="4" w:space="0" w:color="auto"/>
              <w:left w:val="nil"/>
              <w:bottom w:val="single" w:sz="8" w:space="0" w:color="auto"/>
              <w:right w:val="nil"/>
            </w:tcBorders>
            <w:shd w:val="clear" w:color="auto" w:fill="auto"/>
            <w:noWrap/>
            <w:vAlign w:val="bottom"/>
            <w:hideMark/>
          </w:tcPr>
          <w:p w:rsidR="005A05CB" w:rsidRDefault="005A05CB" w:rsidP="005A05CB">
            <w:pPr>
              <w:jc w:val="center"/>
              <w:rPr>
                <w:rFonts w:eastAsia="Times New Roman"/>
                <w:sz w:val="16"/>
                <w:szCs w:val="16"/>
                <w:lang w:eastAsia="pt-BR"/>
              </w:rPr>
            </w:pPr>
          </w:p>
        </w:tc>
        <w:tc>
          <w:tcPr>
            <w:tcW w:w="588" w:type="pct"/>
            <w:tcBorders>
              <w:top w:val="single" w:sz="4" w:space="0" w:color="auto"/>
              <w:left w:val="nil"/>
              <w:bottom w:val="single" w:sz="8" w:space="0" w:color="auto"/>
              <w:right w:val="nil"/>
            </w:tcBorders>
            <w:shd w:val="clear" w:color="auto" w:fill="auto"/>
            <w:noWrap/>
            <w:vAlign w:val="bottom"/>
            <w:hideMark/>
          </w:tcPr>
          <w:p w:rsidR="005A05CB" w:rsidRDefault="005A05CB" w:rsidP="005A05CB">
            <w:pPr>
              <w:jc w:val="center"/>
              <w:rPr>
                <w:rFonts w:eastAsia="Times New Roman"/>
                <w:sz w:val="16"/>
                <w:szCs w:val="16"/>
                <w:lang w:eastAsia="pt-BR"/>
              </w:rPr>
            </w:pPr>
          </w:p>
        </w:tc>
        <w:tc>
          <w:tcPr>
            <w:tcW w:w="656" w:type="pct"/>
            <w:tcBorders>
              <w:top w:val="single" w:sz="4" w:space="0" w:color="auto"/>
              <w:left w:val="nil"/>
              <w:bottom w:val="single" w:sz="8" w:space="0" w:color="auto"/>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w:t>
            </w:r>
          </w:p>
        </w:tc>
        <w:tc>
          <w:tcPr>
            <w:tcW w:w="1005" w:type="pct"/>
            <w:tcBorders>
              <w:top w:val="single" w:sz="4" w:space="0" w:color="auto"/>
              <w:left w:val="nil"/>
              <w:bottom w:val="single" w:sz="8" w:space="0" w:color="auto"/>
              <w:right w:val="nil"/>
            </w:tcBorders>
            <w:shd w:val="clear" w:color="auto" w:fill="auto"/>
            <w:noWrap/>
            <w:vAlign w:val="bottom"/>
            <w:hideMark/>
          </w:tcPr>
          <w:p w:rsidR="005A05CB" w:rsidRPr="00282A26" w:rsidRDefault="005A05CB" w:rsidP="005A05CB">
            <w:pPr>
              <w:jc w:val="left"/>
              <w:rPr>
                <w:rFonts w:eastAsia="Times New Roman"/>
                <w:sz w:val="16"/>
                <w:szCs w:val="16"/>
                <w:lang w:eastAsia="pt-BR"/>
              </w:rPr>
            </w:pPr>
            <w:r w:rsidRPr="00282A26">
              <w:rPr>
                <w:rFonts w:eastAsia="Times New Roman"/>
                <w:sz w:val="16"/>
                <w:szCs w:val="16"/>
                <w:lang w:eastAsia="pt-BR"/>
              </w:rPr>
              <w:t> </w:t>
            </w:r>
          </w:p>
        </w:tc>
        <w:tc>
          <w:tcPr>
            <w:tcW w:w="573" w:type="pct"/>
            <w:tcBorders>
              <w:top w:val="single" w:sz="4" w:space="0" w:color="auto"/>
              <w:left w:val="nil"/>
              <w:bottom w:val="single" w:sz="8" w:space="0" w:color="auto"/>
              <w:right w:val="nil"/>
            </w:tcBorders>
            <w:shd w:val="clear" w:color="auto" w:fill="auto"/>
            <w:noWrap/>
            <w:vAlign w:val="bottom"/>
            <w:hideMark/>
          </w:tcPr>
          <w:p w:rsidR="005A05CB" w:rsidRDefault="005A05CB" w:rsidP="005A05CB">
            <w:pPr>
              <w:jc w:val="center"/>
              <w:rPr>
                <w:rFonts w:eastAsia="Times New Roman"/>
                <w:bCs/>
                <w:sz w:val="16"/>
                <w:szCs w:val="16"/>
                <w:lang w:eastAsia="pt-BR"/>
              </w:rPr>
            </w:pPr>
            <w:r w:rsidRPr="00282A26">
              <w:rPr>
                <w:rFonts w:eastAsia="Times New Roman"/>
                <w:bCs/>
                <w:sz w:val="16"/>
                <w:szCs w:val="16"/>
                <w:lang w:eastAsia="pt-BR"/>
              </w:rPr>
              <w:t>5.094,85</w:t>
            </w:r>
          </w:p>
        </w:tc>
      </w:tr>
    </w:tbl>
    <w:p w:rsidR="000D626B" w:rsidRDefault="000D626B" w:rsidP="000D626B">
      <w:pPr>
        <w:spacing w:line="360" w:lineRule="auto"/>
        <w:rPr>
          <w:sz w:val="20"/>
          <w:shd w:val="clear" w:color="auto" w:fill="FFFFFF"/>
        </w:rPr>
      </w:pPr>
      <w:r w:rsidRPr="00282A26">
        <w:rPr>
          <w:sz w:val="20"/>
          <w:shd w:val="clear" w:color="auto" w:fill="FFFFFF"/>
        </w:rPr>
        <w:t xml:space="preserve">Fonte: </w:t>
      </w:r>
      <w:proofErr w:type="spellStart"/>
      <w:r w:rsidRPr="00282A26">
        <w:rPr>
          <w:sz w:val="20"/>
          <w:shd w:val="clear" w:color="auto" w:fill="FFFFFF"/>
        </w:rPr>
        <w:t>Assocana</w:t>
      </w:r>
      <w:proofErr w:type="spellEnd"/>
      <w:r w:rsidR="005A05CB">
        <w:rPr>
          <w:rStyle w:val="Refdenotaderodap"/>
          <w:sz w:val="20"/>
          <w:shd w:val="clear" w:color="auto" w:fill="FFFFFF"/>
        </w:rPr>
        <w:footnoteReference w:id="2"/>
      </w:r>
      <w:r w:rsidRPr="00282A26">
        <w:rPr>
          <w:sz w:val="20"/>
          <w:shd w:val="clear" w:color="auto" w:fill="FFFFFF"/>
        </w:rPr>
        <w:t xml:space="preserve"> (2014)</w:t>
      </w:r>
    </w:p>
    <w:p w:rsidR="008B7756" w:rsidRDefault="008B7756" w:rsidP="000D626B">
      <w:pPr>
        <w:spacing w:line="360" w:lineRule="auto"/>
        <w:rPr>
          <w:sz w:val="20"/>
          <w:shd w:val="clear" w:color="auto" w:fill="FFFFFF"/>
        </w:rPr>
      </w:pPr>
    </w:p>
    <w:p w:rsidR="0004394A" w:rsidRDefault="0004394A" w:rsidP="000D626B">
      <w:pPr>
        <w:spacing w:line="360" w:lineRule="auto"/>
        <w:rPr>
          <w:sz w:val="20"/>
          <w:shd w:val="clear" w:color="auto" w:fill="FFFFFF"/>
        </w:rPr>
      </w:pPr>
    </w:p>
    <w:p w:rsidR="000D626B" w:rsidRDefault="000D626B" w:rsidP="00AC004F">
      <w:pPr>
        <w:spacing w:line="360" w:lineRule="auto"/>
        <w:ind w:firstLine="708"/>
        <w:rPr>
          <w:b/>
        </w:rPr>
      </w:pPr>
      <w:r w:rsidRPr="000703B9">
        <w:rPr>
          <w:b/>
        </w:rPr>
        <w:t>Tratos culturais da soqueira</w:t>
      </w:r>
    </w:p>
    <w:p w:rsidR="000D626B" w:rsidRPr="00661D5D" w:rsidRDefault="000D626B" w:rsidP="000D626B">
      <w:pPr>
        <w:spacing w:line="360" w:lineRule="auto"/>
      </w:pPr>
      <w:r w:rsidRPr="00661D5D">
        <w:tab/>
        <w:t xml:space="preserve">As operações envolvidas nos tratos culturais dependem muito da situação específica do canavial, como a condição do solo, a produtividade, a variedade da cana utilizada e outros fatores. Os principais tratos aplicados são o </w:t>
      </w:r>
      <w:proofErr w:type="spellStart"/>
      <w:r w:rsidRPr="00661D5D">
        <w:t>desenleiramento</w:t>
      </w:r>
      <w:proofErr w:type="spellEnd"/>
      <w:r w:rsidRPr="00661D5D">
        <w:t xml:space="preserve"> da palha, cultivo e adubação da soqueira, aplicação de herbicidas e controle de pragas. </w:t>
      </w:r>
    </w:p>
    <w:p w:rsidR="000D626B" w:rsidRDefault="000D626B" w:rsidP="000D626B">
      <w:pPr>
        <w:spacing w:line="360" w:lineRule="auto"/>
      </w:pPr>
      <w:r w:rsidRPr="00661D5D">
        <w:tab/>
        <w:t>O custo médio apurado por hectare, d</w:t>
      </w:r>
      <w:r>
        <w:t>esses</w:t>
      </w:r>
      <w:r w:rsidRPr="00661D5D">
        <w:t xml:space="preserve"> tratos mais comumente realizados foi de R$ 971,67</w:t>
      </w:r>
      <w:r>
        <w:t xml:space="preserve"> ha</w:t>
      </w:r>
      <w:r w:rsidRPr="00D26D83">
        <w:rPr>
          <w:vertAlign w:val="superscript"/>
        </w:rPr>
        <w:t>-1</w:t>
      </w:r>
      <w:r w:rsidRPr="00661D5D">
        <w:t>ano</w:t>
      </w:r>
      <w:r w:rsidRPr="00D26D83">
        <w:rPr>
          <w:vertAlign w:val="superscript"/>
        </w:rPr>
        <w:t>-1</w:t>
      </w:r>
      <w:r w:rsidRPr="00661D5D">
        <w:t xml:space="preserve"> (Tabela 2), sendo que os tratos </w:t>
      </w:r>
      <w:r>
        <w:t>foram</w:t>
      </w:r>
      <w:r w:rsidRPr="00661D5D">
        <w:t xml:space="preserve"> realizados no início de cada ano produtivo a partir do segundo ano, mas não efetuado no último, pois pressupõe-se a erradicação do canavia</w:t>
      </w:r>
      <w:r>
        <w:t>l. Dessa forma, esses custos foram</w:t>
      </w:r>
      <w:r w:rsidRPr="00661D5D">
        <w:t xml:space="preserve"> </w:t>
      </w:r>
      <w:r>
        <w:t>calculados</w:t>
      </w:r>
      <w:r w:rsidRPr="00661D5D">
        <w:t xml:space="preserve"> por quatro anos.</w:t>
      </w:r>
    </w:p>
    <w:p w:rsidR="0004394A" w:rsidRDefault="0004394A" w:rsidP="000D626B">
      <w:pPr>
        <w:spacing w:line="360" w:lineRule="auto"/>
      </w:pPr>
    </w:p>
    <w:p w:rsidR="0004394A" w:rsidRDefault="0004394A" w:rsidP="000D626B">
      <w:pPr>
        <w:spacing w:line="360" w:lineRule="auto"/>
      </w:pPr>
    </w:p>
    <w:p w:rsidR="0004394A" w:rsidRDefault="0004394A" w:rsidP="000D626B">
      <w:pPr>
        <w:spacing w:line="360" w:lineRule="auto"/>
      </w:pPr>
    </w:p>
    <w:p w:rsidR="0004394A" w:rsidRDefault="0004394A" w:rsidP="000D626B">
      <w:pPr>
        <w:spacing w:line="360" w:lineRule="auto"/>
      </w:pPr>
    </w:p>
    <w:p w:rsidR="0004394A" w:rsidRDefault="0004394A" w:rsidP="000D626B">
      <w:pPr>
        <w:spacing w:line="360" w:lineRule="auto"/>
      </w:pPr>
    </w:p>
    <w:p w:rsidR="0004394A" w:rsidRDefault="0004394A" w:rsidP="000D626B">
      <w:pPr>
        <w:spacing w:line="360" w:lineRule="auto"/>
      </w:pPr>
    </w:p>
    <w:p w:rsidR="0004394A" w:rsidRDefault="0004394A" w:rsidP="000D626B">
      <w:pPr>
        <w:spacing w:line="360" w:lineRule="auto"/>
      </w:pPr>
    </w:p>
    <w:p w:rsidR="000D626B" w:rsidRDefault="000D626B" w:rsidP="00F44510">
      <w:pPr>
        <w:spacing w:after="120" w:line="240" w:lineRule="auto"/>
      </w:pPr>
      <w:r w:rsidRPr="005237DE">
        <w:lastRenderedPageBreak/>
        <w:t>Tabela 2. Custo de produção</w:t>
      </w:r>
      <w:r>
        <w:t xml:space="preserve"> - Tratos culturais da soqueira</w:t>
      </w:r>
      <w:r w:rsidR="00FD39F3">
        <w:t xml:space="preserve"> na safra 2014/2015 na região sudoeste do estado de São Paulo</w:t>
      </w:r>
      <w:r w:rsidRPr="005237DE">
        <w:tab/>
      </w:r>
    </w:p>
    <w:tbl>
      <w:tblPr>
        <w:tblW w:w="5000" w:type="pct"/>
        <w:tblCellMar>
          <w:left w:w="70" w:type="dxa"/>
          <w:right w:w="70" w:type="dxa"/>
        </w:tblCellMar>
        <w:tblLook w:val="04A0" w:firstRow="1" w:lastRow="0" w:firstColumn="1" w:lastColumn="0" w:noHBand="0" w:noVBand="1"/>
      </w:tblPr>
      <w:tblGrid>
        <w:gridCol w:w="2378"/>
        <w:gridCol w:w="1938"/>
        <w:gridCol w:w="1073"/>
        <w:gridCol w:w="919"/>
        <w:gridCol w:w="1064"/>
        <w:gridCol w:w="1272"/>
      </w:tblGrid>
      <w:tr w:rsidR="000D626B" w:rsidRPr="00D13163" w:rsidTr="00FD39F3">
        <w:trPr>
          <w:trHeight w:hRule="exact" w:val="454"/>
        </w:trPr>
        <w:tc>
          <w:tcPr>
            <w:tcW w:w="1378" w:type="pct"/>
            <w:tcBorders>
              <w:top w:val="single" w:sz="4" w:space="0" w:color="auto"/>
              <w:left w:val="nil"/>
              <w:bottom w:val="single" w:sz="4" w:space="0" w:color="auto"/>
              <w:right w:val="nil"/>
            </w:tcBorders>
            <w:shd w:val="clear" w:color="auto" w:fill="auto"/>
            <w:vAlign w:val="bottom"/>
            <w:hideMark/>
          </w:tcPr>
          <w:p w:rsidR="000D626B" w:rsidRPr="00D26D83" w:rsidRDefault="000D626B" w:rsidP="00EC7ACA">
            <w:pPr>
              <w:jc w:val="center"/>
              <w:rPr>
                <w:rFonts w:eastAsia="Times New Roman"/>
                <w:bCs/>
                <w:sz w:val="18"/>
                <w:szCs w:val="20"/>
                <w:lang w:eastAsia="pt-BR"/>
              </w:rPr>
            </w:pPr>
            <w:r w:rsidRPr="00D26D83">
              <w:rPr>
                <w:rFonts w:eastAsia="Times New Roman"/>
                <w:bCs/>
                <w:sz w:val="18"/>
                <w:szCs w:val="20"/>
                <w:lang w:eastAsia="pt-BR"/>
              </w:rPr>
              <w:t>OPERAÇÃO</w:t>
            </w:r>
          </w:p>
        </w:tc>
        <w:tc>
          <w:tcPr>
            <w:tcW w:w="1123" w:type="pct"/>
            <w:tcBorders>
              <w:top w:val="single" w:sz="4" w:space="0" w:color="auto"/>
              <w:left w:val="nil"/>
              <w:bottom w:val="single" w:sz="4" w:space="0" w:color="auto"/>
              <w:right w:val="nil"/>
            </w:tcBorders>
            <w:shd w:val="clear" w:color="auto" w:fill="auto"/>
            <w:vAlign w:val="bottom"/>
            <w:hideMark/>
          </w:tcPr>
          <w:p w:rsidR="000D626B" w:rsidRPr="00D26D83" w:rsidRDefault="000D626B" w:rsidP="00EC7ACA">
            <w:pPr>
              <w:jc w:val="center"/>
              <w:rPr>
                <w:rFonts w:eastAsia="Times New Roman"/>
                <w:bCs/>
                <w:sz w:val="18"/>
                <w:szCs w:val="20"/>
                <w:lang w:eastAsia="pt-BR"/>
              </w:rPr>
            </w:pPr>
            <w:r w:rsidRPr="00D26D83">
              <w:rPr>
                <w:rFonts w:eastAsia="Times New Roman"/>
                <w:bCs/>
                <w:sz w:val="18"/>
                <w:szCs w:val="20"/>
                <w:lang w:eastAsia="pt-BR"/>
              </w:rPr>
              <w:t xml:space="preserve"> DESCRIÇÃO </w:t>
            </w:r>
          </w:p>
        </w:tc>
        <w:tc>
          <w:tcPr>
            <w:tcW w:w="611" w:type="pct"/>
            <w:tcBorders>
              <w:top w:val="single" w:sz="4" w:space="0" w:color="auto"/>
              <w:left w:val="nil"/>
              <w:bottom w:val="single" w:sz="4" w:space="0" w:color="auto"/>
              <w:right w:val="nil"/>
            </w:tcBorders>
            <w:shd w:val="clear" w:color="auto" w:fill="auto"/>
            <w:vAlign w:val="bottom"/>
            <w:hideMark/>
          </w:tcPr>
          <w:p w:rsidR="000D626B" w:rsidRPr="00D26D83" w:rsidRDefault="000D626B" w:rsidP="00EC7ACA">
            <w:pPr>
              <w:jc w:val="center"/>
              <w:rPr>
                <w:rFonts w:eastAsia="Times New Roman"/>
                <w:bCs/>
                <w:sz w:val="18"/>
                <w:szCs w:val="20"/>
                <w:lang w:eastAsia="pt-BR"/>
              </w:rPr>
            </w:pPr>
            <w:r w:rsidRPr="00D26D83">
              <w:rPr>
                <w:rFonts w:eastAsia="Times New Roman"/>
                <w:bCs/>
                <w:sz w:val="18"/>
                <w:szCs w:val="20"/>
                <w:lang w:eastAsia="pt-BR"/>
              </w:rPr>
              <w:t>UNIDADE</w:t>
            </w:r>
          </w:p>
        </w:tc>
        <w:tc>
          <w:tcPr>
            <w:tcW w:w="533" w:type="pct"/>
            <w:tcBorders>
              <w:top w:val="single" w:sz="4" w:space="0" w:color="auto"/>
              <w:left w:val="nil"/>
              <w:bottom w:val="single" w:sz="4" w:space="0" w:color="auto"/>
              <w:right w:val="nil"/>
            </w:tcBorders>
            <w:shd w:val="clear" w:color="auto" w:fill="auto"/>
            <w:vAlign w:val="bottom"/>
            <w:hideMark/>
          </w:tcPr>
          <w:p w:rsidR="000D626B" w:rsidRPr="00D26D83" w:rsidRDefault="000D626B" w:rsidP="00EC7ACA">
            <w:pPr>
              <w:jc w:val="center"/>
              <w:rPr>
                <w:rFonts w:eastAsia="Times New Roman"/>
                <w:bCs/>
                <w:sz w:val="18"/>
                <w:szCs w:val="20"/>
                <w:lang w:eastAsia="pt-BR"/>
              </w:rPr>
            </w:pPr>
            <w:r w:rsidRPr="00D26D83">
              <w:rPr>
                <w:rFonts w:eastAsia="Times New Roman"/>
                <w:bCs/>
                <w:sz w:val="18"/>
                <w:szCs w:val="20"/>
                <w:lang w:eastAsia="pt-BR"/>
              </w:rPr>
              <w:t>CUSTO UNITÁRIO</w:t>
            </w:r>
          </w:p>
        </w:tc>
        <w:tc>
          <w:tcPr>
            <w:tcW w:w="617" w:type="pct"/>
            <w:tcBorders>
              <w:top w:val="single" w:sz="4" w:space="0" w:color="auto"/>
              <w:left w:val="nil"/>
              <w:bottom w:val="single" w:sz="4" w:space="0" w:color="auto"/>
              <w:right w:val="nil"/>
            </w:tcBorders>
            <w:shd w:val="clear" w:color="auto" w:fill="auto"/>
            <w:vAlign w:val="bottom"/>
            <w:hideMark/>
          </w:tcPr>
          <w:p w:rsidR="000D626B" w:rsidRPr="00D26D83" w:rsidRDefault="000D626B" w:rsidP="00EC7ACA">
            <w:pPr>
              <w:jc w:val="center"/>
              <w:rPr>
                <w:rFonts w:eastAsia="Times New Roman"/>
                <w:bCs/>
                <w:sz w:val="18"/>
                <w:szCs w:val="20"/>
                <w:lang w:eastAsia="pt-BR"/>
              </w:rPr>
            </w:pPr>
            <w:r w:rsidRPr="00D26D83">
              <w:rPr>
                <w:rFonts w:eastAsia="Times New Roman"/>
                <w:bCs/>
                <w:sz w:val="18"/>
                <w:szCs w:val="20"/>
                <w:lang w:eastAsia="pt-BR"/>
              </w:rPr>
              <w:t>UNIDADE OPERAÇÃO</w:t>
            </w:r>
          </w:p>
        </w:tc>
        <w:tc>
          <w:tcPr>
            <w:tcW w:w="738" w:type="pct"/>
            <w:tcBorders>
              <w:top w:val="single" w:sz="4" w:space="0" w:color="auto"/>
              <w:left w:val="nil"/>
              <w:bottom w:val="single" w:sz="4" w:space="0" w:color="auto"/>
              <w:right w:val="nil"/>
            </w:tcBorders>
            <w:shd w:val="clear" w:color="auto" w:fill="auto"/>
            <w:vAlign w:val="bottom"/>
            <w:hideMark/>
          </w:tcPr>
          <w:p w:rsidR="000D626B" w:rsidRPr="00D26D83" w:rsidRDefault="000D626B" w:rsidP="00EC7ACA">
            <w:pPr>
              <w:jc w:val="center"/>
              <w:rPr>
                <w:rFonts w:eastAsia="Times New Roman"/>
                <w:bCs/>
                <w:sz w:val="18"/>
                <w:szCs w:val="20"/>
                <w:lang w:eastAsia="pt-BR"/>
              </w:rPr>
            </w:pPr>
            <w:r w:rsidRPr="00D26D83">
              <w:rPr>
                <w:rFonts w:eastAsia="Times New Roman"/>
                <w:bCs/>
                <w:sz w:val="18"/>
                <w:szCs w:val="20"/>
                <w:lang w:eastAsia="pt-BR"/>
              </w:rPr>
              <w:t xml:space="preserve">TOTAL        </w:t>
            </w:r>
          </w:p>
        </w:tc>
      </w:tr>
      <w:tr w:rsidR="000D626B" w:rsidRPr="00D13163" w:rsidTr="00AA1BE4">
        <w:trPr>
          <w:trHeight w:hRule="exact" w:val="356"/>
        </w:trPr>
        <w:tc>
          <w:tcPr>
            <w:tcW w:w="1378" w:type="pct"/>
            <w:tcBorders>
              <w:top w:val="single" w:sz="4" w:space="0" w:color="auto"/>
              <w:left w:val="nil"/>
              <w:right w:val="nil"/>
            </w:tcBorders>
            <w:shd w:val="clear" w:color="auto" w:fill="auto"/>
            <w:vAlign w:val="bottom"/>
          </w:tcPr>
          <w:p w:rsidR="000D626B" w:rsidRPr="00D26D83" w:rsidRDefault="000D626B" w:rsidP="00EC7ACA">
            <w:pPr>
              <w:jc w:val="center"/>
              <w:rPr>
                <w:rFonts w:eastAsia="Times New Roman"/>
                <w:bCs/>
                <w:sz w:val="18"/>
                <w:szCs w:val="20"/>
                <w:lang w:eastAsia="pt-BR"/>
              </w:rPr>
            </w:pPr>
          </w:p>
        </w:tc>
        <w:tc>
          <w:tcPr>
            <w:tcW w:w="1123" w:type="pct"/>
            <w:tcBorders>
              <w:top w:val="single" w:sz="4" w:space="0" w:color="auto"/>
              <w:left w:val="nil"/>
              <w:right w:val="nil"/>
            </w:tcBorders>
            <w:shd w:val="clear" w:color="auto" w:fill="auto"/>
            <w:vAlign w:val="bottom"/>
          </w:tcPr>
          <w:p w:rsidR="000D626B" w:rsidRPr="00D26D83" w:rsidRDefault="000D626B" w:rsidP="00EC7ACA">
            <w:pPr>
              <w:jc w:val="center"/>
              <w:rPr>
                <w:rFonts w:eastAsia="Times New Roman"/>
                <w:bCs/>
                <w:sz w:val="18"/>
                <w:szCs w:val="20"/>
                <w:lang w:eastAsia="pt-BR"/>
              </w:rPr>
            </w:pPr>
          </w:p>
        </w:tc>
        <w:tc>
          <w:tcPr>
            <w:tcW w:w="611" w:type="pct"/>
            <w:tcBorders>
              <w:top w:val="single" w:sz="4" w:space="0" w:color="auto"/>
              <w:left w:val="nil"/>
              <w:right w:val="nil"/>
            </w:tcBorders>
            <w:shd w:val="clear" w:color="auto" w:fill="auto"/>
            <w:vAlign w:val="bottom"/>
          </w:tcPr>
          <w:p w:rsidR="000D626B" w:rsidRPr="00D26D83" w:rsidRDefault="000D626B" w:rsidP="00EC7ACA">
            <w:pPr>
              <w:jc w:val="center"/>
              <w:rPr>
                <w:rFonts w:eastAsia="Times New Roman"/>
                <w:bCs/>
                <w:sz w:val="18"/>
                <w:szCs w:val="20"/>
                <w:lang w:eastAsia="pt-BR"/>
              </w:rPr>
            </w:pPr>
          </w:p>
        </w:tc>
        <w:tc>
          <w:tcPr>
            <w:tcW w:w="533" w:type="pct"/>
            <w:tcBorders>
              <w:top w:val="single" w:sz="4" w:space="0" w:color="auto"/>
              <w:left w:val="nil"/>
              <w:right w:val="nil"/>
            </w:tcBorders>
            <w:shd w:val="clear" w:color="auto" w:fill="auto"/>
            <w:vAlign w:val="bottom"/>
          </w:tcPr>
          <w:p w:rsidR="000D626B" w:rsidRPr="00D26D83" w:rsidRDefault="000D626B" w:rsidP="00EC7ACA">
            <w:pPr>
              <w:jc w:val="center"/>
              <w:rPr>
                <w:rFonts w:eastAsia="Times New Roman"/>
                <w:bCs/>
                <w:sz w:val="18"/>
                <w:szCs w:val="20"/>
                <w:lang w:eastAsia="pt-BR"/>
              </w:rPr>
            </w:pPr>
            <w:r w:rsidRPr="00D26D83">
              <w:rPr>
                <w:rFonts w:eastAsia="Times New Roman"/>
                <w:bCs/>
                <w:sz w:val="18"/>
                <w:szCs w:val="20"/>
                <w:lang w:eastAsia="pt-BR"/>
              </w:rPr>
              <w:t>----R$---</w:t>
            </w:r>
          </w:p>
        </w:tc>
        <w:tc>
          <w:tcPr>
            <w:tcW w:w="617" w:type="pct"/>
            <w:tcBorders>
              <w:top w:val="single" w:sz="4" w:space="0" w:color="auto"/>
              <w:left w:val="nil"/>
              <w:right w:val="nil"/>
            </w:tcBorders>
            <w:shd w:val="clear" w:color="auto" w:fill="auto"/>
            <w:vAlign w:val="bottom"/>
          </w:tcPr>
          <w:p w:rsidR="000D626B" w:rsidRPr="00D26D83" w:rsidRDefault="000D626B" w:rsidP="00EC7ACA">
            <w:pPr>
              <w:jc w:val="center"/>
              <w:rPr>
                <w:rFonts w:eastAsia="Times New Roman"/>
                <w:bCs/>
                <w:sz w:val="18"/>
                <w:szCs w:val="20"/>
                <w:lang w:eastAsia="pt-BR"/>
              </w:rPr>
            </w:pPr>
          </w:p>
        </w:tc>
        <w:tc>
          <w:tcPr>
            <w:tcW w:w="738" w:type="pct"/>
            <w:tcBorders>
              <w:top w:val="single" w:sz="4" w:space="0" w:color="auto"/>
              <w:left w:val="nil"/>
              <w:right w:val="nil"/>
            </w:tcBorders>
            <w:shd w:val="clear" w:color="auto" w:fill="auto"/>
            <w:vAlign w:val="bottom"/>
          </w:tcPr>
          <w:p w:rsidR="000D626B" w:rsidRPr="00D26D83" w:rsidRDefault="000D626B" w:rsidP="00EC7ACA">
            <w:pPr>
              <w:jc w:val="center"/>
              <w:rPr>
                <w:rFonts w:eastAsia="Times New Roman"/>
                <w:bCs/>
                <w:sz w:val="18"/>
                <w:szCs w:val="20"/>
                <w:lang w:eastAsia="pt-BR"/>
              </w:rPr>
            </w:pPr>
            <w:r w:rsidRPr="00D26D83">
              <w:rPr>
                <w:rFonts w:eastAsia="Times New Roman"/>
                <w:bCs/>
                <w:sz w:val="18"/>
                <w:szCs w:val="20"/>
                <w:lang w:eastAsia="pt-BR"/>
              </w:rPr>
              <w:t>----R$ ha</w:t>
            </w:r>
            <w:r w:rsidRPr="00D26D83">
              <w:rPr>
                <w:rFonts w:eastAsia="Times New Roman"/>
                <w:bCs/>
                <w:sz w:val="18"/>
                <w:szCs w:val="20"/>
                <w:vertAlign w:val="superscript"/>
                <w:lang w:eastAsia="pt-BR"/>
              </w:rPr>
              <w:t>-1</w:t>
            </w:r>
            <w:r w:rsidRPr="00D26D83">
              <w:rPr>
                <w:rFonts w:eastAsia="Times New Roman"/>
                <w:bCs/>
                <w:sz w:val="18"/>
                <w:szCs w:val="20"/>
                <w:lang w:eastAsia="pt-BR"/>
              </w:rPr>
              <w:t>---</w:t>
            </w:r>
          </w:p>
        </w:tc>
      </w:tr>
      <w:tr w:rsidR="000D626B" w:rsidRPr="00D13163" w:rsidTr="00FD39F3">
        <w:trPr>
          <w:trHeight w:val="300"/>
        </w:trPr>
        <w:tc>
          <w:tcPr>
            <w:tcW w:w="1378" w:type="pct"/>
            <w:tcBorders>
              <w:left w:val="nil"/>
              <w:bottom w:val="nil"/>
              <w:right w:val="nil"/>
            </w:tcBorders>
            <w:shd w:val="clear" w:color="auto" w:fill="auto"/>
            <w:vAlign w:val="bottom"/>
            <w:hideMark/>
          </w:tcPr>
          <w:p w:rsidR="000D626B" w:rsidRPr="00D26D83" w:rsidRDefault="000D626B" w:rsidP="00EC7ACA">
            <w:pPr>
              <w:jc w:val="left"/>
              <w:rPr>
                <w:rFonts w:eastAsia="Times New Roman"/>
                <w:bCs/>
                <w:sz w:val="18"/>
                <w:szCs w:val="20"/>
                <w:lang w:eastAsia="pt-BR"/>
              </w:rPr>
            </w:pPr>
            <w:r w:rsidRPr="00D26D83">
              <w:rPr>
                <w:rFonts w:eastAsia="Times New Roman"/>
                <w:bCs/>
                <w:sz w:val="18"/>
                <w:szCs w:val="20"/>
                <w:lang w:eastAsia="pt-BR"/>
              </w:rPr>
              <w:t>I. TRATOS DA SOQUEIRA</w:t>
            </w:r>
          </w:p>
        </w:tc>
        <w:tc>
          <w:tcPr>
            <w:tcW w:w="1123" w:type="pct"/>
            <w:tcBorders>
              <w:left w:val="nil"/>
              <w:bottom w:val="nil"/>
              <w:right w:val="nil"/>
            </w:tcBorders>
            <w:shd w:val="clear" w:color="auto" w:fill="auto"/>
            <w:vAlign w:val="bottom"/>
            <w:hideMark/>
          </w:tcPr>
          <w:p w:rsidR="000D626B" w:rsidRPr="00D26D83" w:rsidRDefault="000D626B" w:rsidP="00EC7ACA">
            <w:pPr>
              <w:jc w:val="left"/>
              <w:rPr>
                <w:rFonts w:eastAsia="Times New Roman"/>
                <w:sz w:val="18"/>
                <w:szCs w:val="20"/>
                <w:lang w:eastAsia="pt-BR"/>
              </w:rPr>
            </w:pPr>
          </w:p>
        </w:tc>
        <w:tc>
          <w:tcPr>
            <w:tcW w:w="611" w:type="pct"/>
            <w:tcBorders>
              <w:left w:val="nil"/>
              <w:bottom w:val="nil"/>
              <w:right w:val="nil"/>
            </w:tcBorders>
            <w:shd w:val="clear" w:color="auto" w:fill="auto"/>
            <w:vAlign w:val="bottom"/>
            <w:hideMark/>
          </w:tcPr>
          <w:p w:rsidR="000D626B" w:rsidRPr="00D26D83" w:rsidRDefault="000D626B" w:rsidP="00EC7ACA">
            <w:pPr>
              <w:jc w:val="left"/>
              <w:rPr>
                <w:rFonts w:eastAsia="Times New Roman"/>
                <w:sz w:val="18"/>
                <w:szCs w:val="20"/>
                <w:lang w:eastAsia="pt-BR"/>
              </w:rPr>
            </w:pPr>
          </w:p>
        </w:tc>
        <w:tc>
          <w:tcPr>
            <w:tcW w:w="533" w:type="pct"/>
            <w:tcBorders>
              <w:left w:val="nil"/>
              <w:bottom w:val="nil"/>
              <w:right w:val="nil"/>
            </w:tcBorders>
            <w:shd w:val="clear" w:color="auto" w:fill="auto"/>
            <w:vAlign w:val="bottom"/>
            <w:hideMark/>
          </w:tcPr>
          <w:p w:rsidR="000D626B" w:rsidRPr="00D26D83" w:rsidRDefault="000D626B" w:rsidP="00EC7ACA">
            <w:pPr>
              <w:jc w:val="left"/>
              <w:rPr>
                <w:rFonts w:eastAsia="Times New Roman"/>
                <w:sz w:val="18"/>
                <w:szCs w:val="20"/>
                <w:lang w:eastAsia="pt-BR"/>
              </w:rPr>
            </w:pPr>
          </w:p>
        </w:tc>
        <w:tc>
          <w:tcPr>
            <w:tcW w:w="617" w:type="pct"/>
            <w:tcBorders>
              <w:left w:val="nil"/>
              <w:bottom w:val="nil"/>
              <w:right w:val="nil"/>
            </w:tcBorders>
            <w:shd w:val="clear" w:color="auto" w:fill="auto"/>
            <w:vAlign w:val="bottom"/>
            <w:hideMark/>
          </w:tcPr>
          <w:p w:rsidR="000D626B" w:rsidRPr="00D26D83" w:rsidRDefault="000D626B" w:rsidP="00EC7ACA">
            <w:pPr>
              <w:jc w:val="left"/>
              <w:rPr>
                <w:rFonts w:eastAsia="Times New Roman"/>
                <w:sz w:val="18"/>
                <w:szCs w:val="20"/>
                <w:lang w:eastAsia="pt-BR"/>
              </w:rPr>
            </w:pPr>
          </w:p>
        </w:tc>
        <w:tc>
          <w:tcPr>
            <w:tcW w:w="738" w:type="pct"/>
            <w:tcBorders>
              <w:left w:val="nil"/>
              <w:bottom w:val="nil"/>
              <w:right w:val="nil"/>
            </w:tcBorders>
            <w:shd w:val="clear" w:color="auto" w:fill="auto"/>
            <w:vAlign w:val="bottom"/>
            <w:hideMark/>
          </w:tcPr>
          <w:p w:rsidR="000D626B" w:rsidRPr="00D26D83" w:rsidRDefault="000D626B" w:rsidP="00EC7ACA">
            <w:pPr>
              <w:jc w:val="left"/>
              <w:rPr>
                <w:rFonts w:eastAsia="Times New Roman"/>
                <w:sz w:val="18"/>
                <w:szCs w:val="20"/>
                <w:lang w:eastAsia="pt-BR"/>
              </w:rPr>
            </w:pP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1DESENLEIRAMENTO </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TR 100HP+ IMPL. </w:t>
            </w: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proofErr w:type="gramStart"/>
            <w:r w:rsidRPr="00D26D83">
              <w:rPr>
                <w:rFonts w:eastAsia="Times New Roman"/>
                <w:sz w:val="18"/>
                <w:szCs w:val="20"/>
                <w:lang w:eastAsia="pt-BR"/>
              </w:rPr>
              <w:t>h</w:t>
            </w:r>
            <w:proofErr w:type="gramEnd"/>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48,19</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0,50</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24,10</w:t>
            </w: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2CULTIVO </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TR 180HP + IMPL. </w:t>
            </w: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proofErr w:type="gramStart"/>
            <w:r w:rsidRPr="00D26D83">
              <w:rPr>
                <w:rFonts w:eastAsia="Times New Roman"/>
                <w:sz w:val="18"/>
                <w:szCs w:val="20"/>
                <w:lang w:eastAsia="pt-BR"/>
              </w:rPr>
              <w:t>h</w:t>
            </w:r>
            <w:proofErr w:type="gramEnd"/>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69,25</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1,80</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124,65</w:t>
            </w: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3ADUBO </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20.00.30 </w:t>
            </w: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proofErr w:type="gramStart"/>
            <w:r w:rsidRPr="00D26D83">
              <w:rPr>
                <w:rFonts w:eastAsia="Times New Roman"/>
                <w:sz w:val="18"/>
                <w:szCs w:val="20"/>
                <w:lang w:eastAsia="pt-BR"/>
              </w:rPr>
              <w:t>t</w:t>
            </w:r>
            <w:proofErr w:type="gramEnd"/>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1185,00</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0,30</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355,50</w:t>
            </w: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4APLIC.HERBICIDA</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TR 100HP+ IMPL. </w:t>
            </w: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proofErr w:type="gramStart"/>
            <w:r w:rsidRPr="00D26D83">
              <w:rPr>
                <w:rFonts w:eastAsia="Times New Roman"/>
                <w:sz w:val="18"/>
                <w:szCs w:val="20"/>
                <w:lang w:eastAsia="pt-BR"/>
              </w:rPr>
              <w:t>h</w:t>
            </w:r>
            <w:proofErr w:type="gramEnd"/>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38,25</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0,75</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28,69</w:t>
            </w: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5HERBICIDA </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HEXAZINONE+DIURON </w:t>
            </w: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proofErr w:type="gramStart"/>
            <w:r w:rsidRPr="00D26D83">
              <w:rPr>
                <w:rFonts w:eastAsia="Times New Roman"/>
                <w:sz w:val="18"/>
                <w:szCs w:val="20"/>
                <w:lang w:eastAsia="pt-BR"/>
              </w:rPr>
              <w:t>kg</w:t>
            </w:r>
            <w:proofErr w:type="gramEnd"/>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30,50</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2,00</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61,00</w:t>
            </w: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6CONTROLE DE FORMIGA</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BLITZ </w:t>
            </w: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proofErr w:type="gramStart"/>
            <w:r w:rsidRPr="00D26D83">
              <w:rPr>
                <w:rFonts w:eastAsia="Times New Roman"/>
                <w:sz w:val="18"/>
                <w:szCs w:val="20"/>
                <w:lang w:eastAsia="pt-BR"/>
              </w:rPr>
              <w:t>kg</w:t>
            </w:r>
            <w:proofErr w:type="gramEnd"/>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11,50</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0,10</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1,15</w:t>
            </w: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6.1 CONTROLE DE BROCAS </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COTÉSIA</w:t>
            </w: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proofErr w:type="gramStart"/>
            <w:r w:rsidRPr="00D26D83">
              <w:rPr>
                <w:rFonts w:eastAsia="Times New Roman"/>
                <w:sz w:val="18"/>
                <w:szCs w:val="20"/>
                <w:lang w:eastAsia="pt-BR"/>
              </w:rPr>
              <w:t>copos</w:t>
            </w:r>
            <w:proofErr w:type="gramEnd"/>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3,20</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5,00</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16,00</w:t>
            </w: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6.2 CONTR. DE CIGARRINHA</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INSETICIDA </w:t>
            </w: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proofErr w:type="gramStart"/>
            <w:r w:rsidRPr="00D26D83">
              <w:rPr>
                <w:rFonts w:eastAsia="Times New Roman"/>
                <w:sz w:val="18"/>
                <w:szCs w:val="20"/>
                <w:lang w:eastAsia="pt-BR"/>
              </w:rPr>
              <w:t>kg</w:t>
            </w:r>
            <w:proofErr w:type="gramEnd"/>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110,00</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0,80</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88,00</w:t>
            </w:r>
          </w:p>
        </w:tc>
      </w:tr>
      <w:tr w:rsidR="000D626B" w:rsidRPr="00D13163" w:rsidTr="00FD39F3">
        <w:trPr>
          <w:trHeight w:val="300"/>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7CARPA</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xml:space="preserve">MÃO-DE-OBRA </w:t>
            </w:r>
          </w:p>
        </w:tc>
        <w:tc>
          <w:tcPr>
            <w:tcW w:w="611" w:type="pct"/>
            <w:tcBorders>
              <w:top w:val="nil"/>
              <w:left w:val="nil"/>
              <w:bottom w:val="nil"/>
              <w:right w:val="nil"/>
            </w:tcBorders>
            <w:shd w:val="clear" w:color="auto" w:fill="auto"/>
            <w:noWrap/>
            <w:vAlign w:val="bottom"/>
            <w:hideMark/>
          </w:tcPr>
          <w:p w:rsidR="000D626B" w:rsidRPr="00D26D83" w:rsidRDefault="00603F98" w:rsidP="00EC7ACA">
            <w:pPr>
              <w:jc w:val="center"/>
              <w:rPr>
                <w:rFonts w:eastAsia="Times New Roman"/>
                <w:sz w:val="18"/>
                <w:szCs w:val="20"/>
                <w:lang w:eastAsia="pt-BR"/>
              </w:rPr>
            </w:pPr>
            <w:proofErr w:type="gramStart"/>
            <w:r>
              <w:rPr>
                <w:rFonts w:eastAsia="Times New Roman"/>
                <w:sz w:val="18"/>
                <w:szCs w:val="20"/>
                <w:lang w:eastAsia="pt-BR"/>
              </w:rPr>
              <w:t>m</w:t>
            </w:r>
            <w:r w:rsidR="000D626B" w:rsidRPr="00D26D83">
              <w:rPr>
                <w:rFonts w:eastAsia="Times New Roman"/>
                <w:sz w:val="18"/>
                <w:szCs w:val="20"/>
                <w:lang w:eastAsia="pt-BR"/>
              </w:rPr>
              <w:t>ão</w:t>
            </w:r>
            <w:proofErr w:type="gramEnd"/>
            <w:r>
              <w:rPr>
                <w:rFonts w:eastAsia="Times New Roman"/>
                <w:sz w:val="18"/>
                <w:szCs w:val="20"/>
                <w:lang w:eastAsia="pt-BR"/>
              </w:rPr>
              <w:t>-</w:t>
            </w:r>
            <w:r w:rsidR="000D626B" w:rsidRPr="00D26D83">
              <w:rPr>
                <w:rFonts w:eastAsia="Times New Roman"/>
                <w:sz w:val="18"/>
                <w:szCs w:val="20"/>
                <w:lang w:eastAsia="pt-BR"/>
              </w:rPr>
              <w:t>de</w:t>
            </w:r>
            <w:r>
              <w:rPr>
                <w:rFonts w:eastAsia="Times New Roman"/>
                <w:sz w:val="18"/>
                <w:szCs w:val="20"/>
                <w:lang w:eastAsia="pt-BR"/>
              </w:rPr>
              <w:t>-</w:t>
            </w:r>
            <w:r w:rsidR="000D626B" w:rsidRPr="00D26D83">
              <w:rPr>
                <w:rFonts w:eastAsia="Times New Roman"/>
                <w:sz w:val="18"/>
                <w:szCs w:val="20"/>
                <w:lang w:eastAsia="pt-BR"/>
              </w:rPr>
              <w:t>obra</w:t>
            </w:r>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36,85</w:t>
            </w: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5,00</w:t>
            </w: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184,25</w:t>
            </w:r>
          </w:p>
        </w:tc>
      </w:tr>
      <w:tr w:rsidR="000D626B" w:rsidRPr="00D13163" w:rsidTr="00FD39F3">
        <w:trPr>
          <w:trHeight w:val="315"/>
        </w:trPr>
        <w:tc>
          <w:tcPr>
            <w:tcW w:w="1378"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9ADMINISTR. (10%)</w:t>
            </w:r>
          </w:p>
        </w:tc>
        <w:tc>
          <w:tcPr>
            <w:tcW w:w="112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p>
        </w:tc>
        <w:tc>
          <w:tcPr>
            <w:tcW w:w="611"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p>
        </w:tc>
        <w:tc>
          <w:tcPr>
            <w:tcW w:w="533"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p>
        </w:tc>
        <w:tc>
          <w:tcPr>
            <w:tcW w:w="617" w:type="pct"/>
            <w:tcBorders>
              <w:top w:val="nil"/>
              <w:left w:val="nil"/>
              <w:bottom w:val="nil"/>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p>
        </w:tc>
        <w:tc>
          <w:tcPr>
            <w:tcW w:w="738" w:type="pct"/>
            <w:tcBorders>
              <w:top w:val="nil"/>
              <w:left w:val="nil"/>
              <w:bottom w:val="nil"/>
              <w:right w:val="nil"/>
            </w:tcBorders>
            <w:shd w:val="clear" w:color="auto" w:fill="auto"/>
            <w:noWrap/>
            <w:vAlign w:val="bottom"/>
            <w:hideMark/>
          </w:tcPr>
          <w:p w:rsidR="000D626B" w:rsidRPr="00D26D83" w:rsidRDefault="000D626B" w:rsidP="00EC7ACA">
            <w:pPr>
              <w:jc w:val="center"/>
              <w:rPr>
                <w:rFonts w:eastAsia="Times New Roman"/>
                <w:sz w:val="18"/>
                <w:szCs w:val="20"/>
                <w:lang w:eastAsia="pt-BR"/>
              </w:rPr>
            </w:pPr>
            <w:r w:rsidRPr="00D26D83">
              <w:rPr>
                <w:rFonts w:eastAsia="Times New Roman"/>
                <w:sz w:val="18"/>
                <w:szCs w:val="20"/>
                <w:lang w:eastAsia="pt-BR"/>
              </w:rPr>
              <w:t>88,33</w:t>
            </w:r>
          </w:p>
        </w:tc>
      </w:tr>
      <w:tr w:rsidR="000D626B" w:rsidRPr="00D13163" w:rsidTr="00FD39F3">
        <w:trPr>
          <w:trHeight w:val="315"/>
        </w:trPr>
        <w:tc>
          <w:tcPr>
            <w:tcW w:w="1378" w:type="pct"/>
            <w:tcBorders>
              <w:top w:val="single" w:sz="4" w:space="0" w:color="auto"/>
              <w:left w:val="nil"/>
              <w:bottom w:val="single" w:sz="8" w:space="0" w:color="auto"/>
              <w:right w:val="nil"/>
            </w:tcBorders>
            <w:shd w:val="clear" w:color="auto" w:fill="auto"/>
            <w:noWrap/>
            <w:vAlign w:val="bottom"/>
            <w:hideMark/>
          </w:tcPr>
          <w:p w:rsidR="000D626B" w:rsidRPr="00D26D83" w:rsidRDefault="000D626B" w:rsidP="00EC7ACA">
            <w:pPr>
              <w:jc w:val="left"/>
              <w:rPr>
                <w:rFonts w:eastAsia="Times New Roman"/>
                <w:bCs/>
                <w:sz w:val="18"/>
                <w:szCs w:val="20"/>
                <w:lang w:eastAsia="pt-BR"/>
              </w:rPr>
            </w:pPr>
            <w:r w:rsidRPr="00D26D83">
              <w:rPr>
                <w:rFonts w:eastAsia="Times New Roman"/>
                <w:bCs/>
                <w:sz w:val="18"/>
                <w:szCs w:val="20"/>
                <w:lang w:eastAsia="pt-BR"/>
              </w:rPr>
              <w:t>SUBTOTAL</w:t>
            </w:r>
          </w:p>
        </w:tc>
        <w:tc>
          <w:tcPr>
            <w:tcW w:w="1123" w:type="pct"/>
            <w:tcBorders>
              <w:top w:val="single" w:sz="4" w:space="0" w:color="auto"/>
              <w:left w:val="nil"/>
              <w:bottom w:val="single" w:sz="8" w:space="0" w:color="auto"/>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w:t>
            </w:r>
          </w:p>
        </w:tc>
        <w:tc>
          <w:tcPr>
            <w:tcW w:w="611" w:type="pct"/>
            <w:tcBorders>
              <w:top w:val="single" w:sz="4" w:space="0" w:color="auto"/>
              <w:left w:val="nil"/>
              <w:bottom w:val="single" w:sz="8" w:space="0" w:color="auto"/>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w:t>
            </w:r>
          </w:p>
        </w:tc>
        <w:tc>
          <w:tcPr>
            <w:tcW w:w="533" w:type="pct"/>
            <w:tcBorders>
              <w:top w:val="single" w:sz="4" w:space="0" w:color="auto"/>
              <w:left w:val="nil"/>
              <w:bottom w:val="single" w:sz="8" w:space="0" w:color="auto"/>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w:t>
            </w:r>
          </w:p>
        </w:tc>
        <w:tc>
          <w:tcPr>
            <w:tcW w:w="617" w:type="pct"/>
            <w:tcBorders>
              <w:top w:val="single" w:sz="4" w:space="0" w:color="auto"/>
              <w:left w:val="nil"/>
              <w:bottom w:val="single" w:sz="8" w:space="0" w:color="auto"/>
              <w:right w:val="nil"/>
            </w:tcBorders>
            <w:shd w:val="clear" w:color="auto" w:fill="auto"/>
            <w:noWrap/>
            <w:vAlign w:val="bottom"/>
            <w:hideMark/>
          </w:tcPr>
          <w:p w:rsidR="000D626B" w:rsidRPr="00D26D83" w:rsidRDefault="000D626B" w:rsidP="00EC7ACA">
            <w:pPr>
              <w:jc w:val="left"/>
              <w:rPr>
                <w:rFonts w:eastAsia="Times New Roman"/>
                <w:sz w:val="18"/>
                <w:szCs w:val="20"/>
                <w:lang w:eastAsia="pt-BR"/>
              </w:rPr>
            </w:pPr>
            <w:r w:rsidRPr="00D26D83">
              <w:rPr>
                <w:rFonts w:eastAsia="Times New Roman"/>
                <w:sz w:val="18"/>
                <w:szCs w:val="20"/>
                <w:lang w:eastAsia="pt-BR"/>
              </w:rPr>
              <w:t> </w:t>
            </w:r>
          </w:p>
        </w:tc>
        <w:tc>
          <w:tcPr>
            <w:tcW w:w="738" w:type="pct"/>
            <w:tcBorders>
              <w:top w:val="single" w:sz="4" w:space="0" w:color="auto"/>
              <w:left w:val="nil"/>
              <w:bottom w:val="single" w:sz="8" w:space="0" w:color="auto"/>
              <w:right w:val="nil"/>
            </w:tcBorders>
            <w:shd w:val="clear" w:color="auto" w:fill="auto"/>
            <w:noWrap/>
            <w:vAlign w:val="bottom"/>
            <w:hideMark/>
          </w:tcPr>
          <w:p w:rsidR="000D626B" w:rsidRPr="00D26D83" w:rsidRDefault="000D626B" w:rsidP="00EC7ACA">
            <w:pPr>
              <w:jc w:val="left"/>
              <w:rPr>
                <w:rFonts w:eastAsia="Times New Roman"/>
                <w:bCs/>
                <w:sz w:val="18"/>
                <w:szCs w:val="20"/>
                <w:lang w:eastAsia="pt-BR"/>
              </w:rPr>
            </w:pPr>
            <w:r w:rsidRPr="00D26D83">
              <w:rPr>
                <w:rFonts w:eastAsia="Times New Roman"/>
                <w:bCs/>
                <w:sz w:val="18"/>
                <w:szCs w:val="20"/>
                <w:lang w:eastAsia="pt-BR"/>
              </w:rPr>
              <w:t xml:space="preserve">              971,67 </w:t>
            </w:r>
          </w:p>
        </w:tc>
      </w:tr>
    </w:tbl>
    <w:p w:rsidR="000D626B" w:rsidRDefault="000D626B" w:rsidP="000D626B">
      <w:pPr>
        <w:spacing w:before="120" w:line="360" w:lineRule="auto"/>
        <w:rPr>
          <w:sz w:val="20"/>
          <w:shd w:val="clear" w:color="auto" w:fill="FFFFFF"/>
        </w:rPr>
      </w:pPr>
      <w:r w:rsidRPr="000703B9">
        <w:rPr>
          <w:sz w:val="20"/>
          <w:shd w:val="clear" w:color="auto" w:fill="FFFFFF"/>
        </w:rPr>
        <w:t xml:space="preserve">Fonte: </w:t>
      </w:r>
      <w:proofErr w:type="spellStart"/>
      <w:r w:rsidRPr="000703B9">
        <w:rPr>
          <w:sz w:val="20"/>
          <w:shd w:val="clear" w:color="auto" w:fill="FFFFFF"/>
        </w:rPr>
        <w:t>Assocana</w:t>
      </w:r>
      <w:proofErr w:type="spellEnd"/>
      <w:r w:rsidR="0004394A">
        <w:rPr>
          <w:rStyle w:val="Refdenotaderodap"/>
          <w:sz w:val="20"/>
          <w:shd w:val="clear" w:color="auto" w:fill="FFFFFF"/>
        </w:rPr>
        <w:footnoteReference w:id="3"/>
      </w:r>
      <w:r w:rsidRPr="000703B9">
        <w:rPr>
          <w:sz w:val="20"/>
          <w:shd w:val="clear" w:color="auto" w:fill="FFFFFF"/>
        </w:rPr>
        <w:t xml:space="preserve"> (2014)</w:t>
      </w:r>
    </w:p>
    <w:p w:rsidR="00427DE2" w:rsidRDefault="00AC004F" w:rsidP="000D626B">
      <w:pPr>
        <w:spacing w:before="120" w:line="360" w:lineRule="auto"/>
        <w:rPr>
          <w:sz w:val="20"/>
          <w:shd w:val="clear" w:color="auto" w:fill="FFFFFF"/>
        </w:rPr>
      </w:pPr>
      <w:r>
        <w:rPr>
          <w:sz w:val="20"/>
          <w:shd w:val="clear" w:color="auto" w:fill="FFFFFF"/>
        </w:rPr>
        <w:tab/>
      </w:r>
    </w:p>
    <w:p w:rsidR="000D626B" w:rsidRDefault="000D626B" w:rsidP="00AC004F">
      <w:pPr>
        <w:spacing w:line="360" w:lineRule="auto"/>
        <w:ind w:firstLine="708"/>
        <w:rPr>
          <w:b/>
        </w:rPr>
      </w:pPr>
      <w:r w:rsidRPr="000703B9">
        <w:rPr>
          <w:b/>
        </w:rPr>
        <w:t>Corte, carregamento e transporte - CCT</w:t>
      </w:r>
    </w:p>
    <w:p w:rsidR="000D626B" w:rsidRPr="00661D5D" w:rsidRDefault="000D626B" w:rsidP="000D626B">
      <w:pPr>
        <w:spacing w:line="360" w:lineRule="auto"/>
      </w:pPr>
      <w:r w:rsidRPr="00661D5D">
        <w:tab/>
        <w:t>De todas as etapas da produção da cana-de-açúcar, a colheita se destaca pelos custos elevados e pela dificuldade da o</w:t>
      </w:r>
      <w:r>
        <w:t>peracionalização.</w:t>
      </w:r>
      <w:r w:rsidR="00FD39F3">
        <w:t xml:space="preserve"> </w:t>
      </w:r>
      <w:r w:rsidRPr="00661D5D">
        <w:t>Anteriormente a colheita era exclusivamente realizada por mão</w:t>
      </w:r>
      <w:r>
        <w:t>-</w:t>
      </w:r>
      <w:r w:rsidRPr="00661D5D">
        <w:t>de</w:t>
      </w:r>
      <w:r>
        <w:t>-</w:t>
      </w:r>
      <w:r w:rsidRPr="00661D5D">
        <w:t>obra humana, que consistia em condições de trabalho precárias e arriscadas, e focava apenas no aproveitamento dos colmos, efetuando a queima da palha antes da colheita. No entanto, com a evolução nos aspectos legais e ambientais</w:t>
      </w:r>
      <w:r>
        <w:t xml:space="preserve">, </w:t>
      </w:r>
      <w:r w:rsidRPr="00661D5D">
        <w:t xml:space="preserve">que reduzem a queima nos canaviais e, consequentemente, inviabiliza o corte manual, a mecanização torna-se a única opção para a colheita da cana-de-açúcar. Tal opção </w:t>
      </w:r>
      <w:r>
        <w:t>torna-se</w:t>
      </w:r>
      <w:r w:rsidRPr="00661D5D">
        <w:t xml:space="preserve"> vantajosa tanto ergonômica quanto economicamente, já que apenas o corte mecânico viabiliza a colheita sem queima prévia, permitindo ainda o aproveitamento da palha para produção de energia (</w:t>
      </w:r>
      <w:proofErr w:type="spellStart"/>
      <w:r w:rsidRPr="00661D5D">
        <w:t>Braunbeck</w:t>
      </w:r>
      <w:proofErr w:type="spellEnd"/>
      <w:r>
        <w:t xml:space="preserve"> e</w:t>
      </w:r>
      <w:r w:rsidRPr="00661D5D">
        <w:t xml:space="preserve"> Magalhães, 2006). </w:t>
      </w:r>
    </w:p>
    <w:p w:rsidR="000D626B" w:rsidRPr="00661D5D" w:rsidRDefault="000D626B" w:rsidP="000D626B">
      <w:pPr>
        <w:spacing w:line="360" w:lineRule="auto"/>
      </w:pPr>
      <w:r w:rsidRPr="00661D5D">
        <w:tab/>
        <w:t xml:space="preserve">Devido ao alto custo de investimento com infraestrutura e pessoal capacitado para realizar a colheita mecanizada, apurou-se que apenas grandes produtores têm </w:t>
      </w:r>
      <w:r w:rsidRPr="00661D5D">
        <w:lastRenderedPageBreak/>
        <w:t>capacidade para fazer a própria colheita e entregar na esteira</w:t>
      </w:r>
      <w:r>
        <w:t>. O</w:t>
      </w:r>
      <w:r w:rsidRPr="00661D5D">
        <w:t>s fornecedores com menor poder aquisitivo dependem da usina ou de terceiros para realizar o serviço e mesmo os terceiros seguem os valores praticados pela usina.</w:t>
      </w:r>
    </w:p>
    <w:p w:rsidR="000D626B" w:rsidRPr="00661D5D" w:rsidRDefault="000D626B" w:rsidP="000D626B">
      <w:pPr>
        <w:tabs>
          <w:tab w:val="left" w:pos="709"/>
        </w:tabs>
        <w:spacing w:line="360" w:lineRule="auto"/>
      </w:pPr>
      <w:r w:rsidRPr="00661D5D">
        <w:tab/>
        <w:t xml:space="preserve">O preço para o corte e transbordo na safra 2014/2015 foi R$ 19,17 por tonelada de cana e o valor do transporte, considerando uma distância de 25 km entre a propriedade e a usina, foi R$ 6,54 </w:t>
      </w:r>
      <w:r w:rsidR="00FD39F3">
        <w:t>t</w:t>
      </w:r>
      <w:r w:rsidR="00FD39F3" w:rsidRPr="00FD39F3">
        <w:rPr>
          <w:vertAlign w:val="superscript"/>
        </w:rPr>
        <w:t>-</w:t>
      </w:r>
      <w:r w:rsidR="00FD39F3">
        <w:t>¹</w:t>
      </w:r>
      <w:r w:rsidRPr="00661D5D">
        <w:t xml:space="preserve">, totalizando um custo de R$ 25,71 </w:t>
      </w:r>
      <w:r w:rsidR="00FD39F3">
        <w:t>t</w:t>
      </w:r>
      <w:r w:rsidR="00FD39F3" w:rsidRPr="00FD39F3">
        <w:rPr>
          <w:vertAlign w:val="superscript"/>
        </w:rPr>
        <w:t>-</w:t>
      </w:r>
      <w:r w:rsidR="00FD39F3">
        <w:t>¹</w:t>
      </w:r>
      <w:r w:rsidRPr="00661D5D">
        <w:t xml:space="preserve">. Devido a impossibilidade da projeção exata dos custos para os próximos anos, esse valor </w:t>
      </w:r>
      <w:r>
        <w:t>foi</w:t>
      </w:r>
      <w:r w:rsidRPr="00661D5D">
        <w:t xml:space="preserve"> </w:t>
      </w:r>
      <w:r>
        <w:t>utilizado</w:t>
      </w:r>
      <w:r w:rsidRPr="00661D5D">
        <w:t xml:space="preserve"> como referência para todos os cortes, no fluxo de caixa.</w:t>
      </w:r>
    </w:p>
    <w:p w:rsidR="000D626B" w:rsidRPr="00661D5D" w:rsidRDefault="000D626B" w:rsidP="000D626B">
      <w:pPr>
        <w:spacing w:line="360" w:lineRule="auto"/>
        <w:rPr>
          <w:shd w:val="clear" w:color="auto" w:fill="FFFFFF"/>
        </w:rPr>
      </w:pPr>
    </w:p>
    <w:p w:rsidR="000D626B" w:rsidRDefault="000D626B" w:rsidP="00AC004F">
      <w:pPr>
        <w:spacing w:line="360" w:lineRule="auto"/>
        <w:ind w:firstLine="708"/>
        <w:rPr>
          <w:b/>
          <w:shd w:val="clear" w:color="auto" w:fill="FFFFFF"/>
        </w:rPr>
      </w:pPr>
      <w:r w:rsidRPr="000703B9">
        <w:rPr>
          <w:b/>
          <w:shd w:val="clear" w:color="auto" w:fill="FFFFFF"/>
        </w:rPr>
        <w:t>Outras despesas</w:t>
      </w:r>
    </w:p>
    <w:p w:rsidR="000D626B" w:rsidRPr="00661D5D" w:rsidRDefault="000D626B" w:rsidP="000D626B">
      <w:pPr>
        <w:tabs>
          <w:tab w:val="left" w:pos="709"/>
        </w:tabs>
        <w:spacing w:line="360" w:lineRule="auto"/>
        <w:rPr>
          <w:shd w:val="clear" w:color="auto" w:fill="FFFFFF"/>
        </w:rPr>
      </w:pPr>
      <w:r w:rsidRPr="00661D5D">
        <w:rPr>
          <w:shd w:val="clear" w:color="auto" w:fill="FFFFFF"/>
        </w:rPr>
        <w:tab/>
        <w:t xml:space="preserve">Além dos custos específicos para a produção da cana-de-açúcar, considerou-se outras despesas inerentes a todos os sistemas de exploração, como o investimento inicial, o Fundo de Assistência ao Trabalhador Rural </w:t>
      </w:r>
      <w:r>
        <w:rPr>
          <w:shd w:val="clear" w:color="auto" w:fill="FFFFFF"/>
        </w:rPr>
        <w:t>[</w:t>
      </w:r>
      <w:r w:rsidRPr="00661D5D">
        <w:rPr>
          <w:shd w:val="clear" w:color="auto" w:fill="FFFFFF"/>
        </w:rPr>
        <w:t>FUNRURAL</w:t>
      </w:r>
      <w:r>
        <w:rPr>
          <w:shd w:val="clear" w:color="auto" w:fill="FFFFFF"/>
        </w:rPr>
        <w:t>]</w:t>
      </w:r>
      <w:r w:rsidRPr="00661D5D">
        <w:rPr>
          <w:shd w:val="clear" w:color="auto" w:fill="FFFFFF"/>
        </w:rPr>
        <w:t xml:space="preserve"> e o imposto de renda.</w:t>
      </w:r>
    </w:p>
    <w:p w:rsidR="000D626B" w:rsidRPr="00661D5D" w:rsidRDefault="000D626B" w:rsidP="000D626B">
      <w:pPr>
        <w:spacing w:line="360" w:lineRule="auto"/>
        <w:rPr>
          <w:shd w:val="clear" w:color="auto" w:fill="FFFFFF"/>
        </w:rPr>
      </w:pPr>
      <w:r w:rsidRPr="00661D5D">
        <w:rPr>
          <w:shd w:val="clear" w:color="auto" w:fill="FFFFFF"/>
        </w:rPr>
        <w:tab/>
        <w:t>O valor do investimento inicial considerado foi a média do preço da terra de cultura de primeira, na região do estudo, avaliada em R$ 23.107,41</w:t>
      </w:r>
      <w:r w:rsidR="00603F98">
        <w:rPr>
          <w:shd w:val="clear" w:color="auto" w:fill="FFFFFF"/>
        </w:rPr>
        <w:t xml:space="preserve"> </w:t>
      </w:r>
      <w:r w:rsidR="00FD39F3">
        <w:rPr>
          <w:shd w:val="clear" w:color="auto" w:fill="FFFFFF"/>
        </w:rPr>
        <w:t>ha</w:t>
      </w:r>
      <w:r w:rsidR="00FD39F3" w:rsidRPr="00FD39F3">
        <w:rPr>
          <w:vertAlign w:val="superscript"/>
        </w:rPr>
        <w:t>-</w:t>
      </w:r>
      <w:r w:rsidR="00FD39F3">
        <w:t>¹</w:t>
      </w:r>
      <w:r w:rsidRPr="00661D5D">
        <w:rPr>
          <w:shd w:val="clear" w:color="auto" w:fill="FFFFFF"/>
        </w:rPr>
        <w:t xml:space="preserve"> (IEA, 2014). O FUNRURAL é descontado do pagamento feito pela Usina</w:t>
      </w:r>
      <w:r>
        <w:rPr>
          <w:shd w:val="clear" w:color="auto" w:fill="FFFFFF"/>
        </w:rPr>
        <w:t xml:space="preserve"> com</w:t>
      </w:r>
      <w:r w:rsidR="00FD39F3">
        <w:rPr>
          <w:shd w:val="clear" w:color="auto" w:fill="FFFFFF"/>
        </w:rPr>
        <w:t xml:space="preserve"> </w:t>
      </w:r>
      <w:r w:rsidRPr="00661D5D">
        <w:rPr>
          <w:shd w:val="clear" w:color="auto" w:fill="FFFFFF"/>
        </w:rPr>
        <w:t>taxa de 2,3%. Quanto ao imposto de renda, foi fixado taxa padrão de 20% para o estudo.</w:t>
      </w:r>
    </w:p>
    <w:p w:rsidR="000D626B" w:rsidRPr="00661D5D" w:rsidRDefault="000D626B" w:rsidP="000D626B">
      <w:pPr>
        <w:spacing w:line="360" w:lineRule="auto"/>
        <w:rPr>
          <w:shd w:val="clear" w:color="auto" w:fill="FFFFFF"/>
        </w:rPr>
      </w:pPr>
      <w:r w:rsidRPr="00661D5D">
        <w:rPr>
          <w:shd w:val="clear" w:color="auto" w:fill="FFFFFF"/>
        </w:rPr>
        <w:tab/>
        <w:t xml:space="preserve">Alguns estudos consideram ainda a despesa com eliminação da soqueira como custo de produção. No entanto, neste estudo não foram considerados estes custos, pois </w:t>
      </w:r>
      <w:r>
        <w:rPr>
          <w:shd w:val="clear" w:color="auto" w:fill="FFFFFF"/>
        </w:rPr>
        <w:t>observou</w:t>
      </w:r>
      <w:r w:rsidRPr="00661D5D">
        <w:rPr>
          <w:shd w:val="clear" w:color="auto" w:fill="FFFFFF"/>
        </w:rPr>
        <w:t xml:space="preserve"> que em muitos casos, ao concluir o ciclo da cana-de-açúcar, os produtores da região estudada, optam por fazer rotação de cultura, arrendando a terra para que outro agricultor plante e este fica responsável pela eliminação da soqueira.</w:t>
      </w:r>
    </w:p>
    <w:p w:rsidR="000D626B" w:rsidRPr="00661D5D" w:rsidRDefault="000D626B" w:rsidP="000D626B">
      <w:pPr>
        <w:spacing w:line="360" w:lineRule="auto"/>
        <w:rPr>
          <w:shd w:val="clear" w:color="auto" w:fill="FFFFFF"/>
        </w:rPr>
      </w:pPr>
    </w:p>
    <w:p w:rsidR="008B7756" w:rsidRDefault="000D626B" w:rsidP="00AC004F">
      <w:pPr>
        <w:spacing w:line="360" w:lineRule="auto"/>
        <w:ind w:firstLine="708"/>
        <w:rPr>
          <w:b/>
          <w:shd w:val="clear" w:color="auto" w:fill="FFFFFF"/>
        </w:rPr>
      </w:pPr>
      <w:r w:rsidRPr="000703B9">
        <w:rPr>
          <w:b/>
          <w:shd w:val="clear" w:color="auto" w:fill="FFFFFF"/>
        </w:rPr>
        <w:t>Análise de viabilidade econômica</w:t>
      </w:r>
    </w:p>
    <w:p w:rsidR="000D626B" w:rsidRDefault="000D626B" w:rsidP="000D626B">
      <w:pPr>
        <w:spacing w:line="360" w:lineRule="auto"/>
        <w:rPr>
          <w:shd w:val="clear" w:color="auto" w:fill="FFFFFF"/>
        </w:rPr>
      </w:pPr>
      <w:r w:rsidRPr="00661D5D">
        <w:rPr>
          <w:shd w:val="clear" w:color="auto" w:fill="FFFFFF"/>
        </w:rPr>
        <w:tab/>
        <w:t xml:space="preserve">Através dos dados obtidos foi elaborado fluxo de caixa e realizada a análise de viabilidade econômica através de três indicadores: valor presente líquido, taxa interna de retorno e </w:t>
      </w:r>
      <w:proofErr w:type="spellStart"/>
      <w:r w:rsidRPr="00DD0A13">
        <w:rPr>
          <w:shd w:val="clear" w:color="auto" w:fill="FFFFFF"/>
        </w:rPr>
        <w:t>payback</w:t>
      </w:r>
      <w:proofErr w:type="spellEnd"/>
      <w:r w:rsidRPr="00661D5D">
        <w:rPr>
          <w:shd w:val="clear" w:color="auto" w:fill="FFFFFF"/>
        </w:rPr>
        <w:t xml:space="preserve"> simples.</w:t>
      </w:r>
    </w:p>
    <w:p w:rsidR="00427DE2" w:rsidRPr="00661D5D" w:rsidRDefault="00427DE2" w:rsidP="000D626B">
      <w:pPr>
        <w:spacing w:line="360" w:lineRule="auto"/>
        <w:rPr>
          <w:shd w:val="clear" w:color="auto" w:fill="FFFFFF"/>
        </w:rPr>
      </w:pPr>
    </w:p>
    <w:p w:rsidR="000D626B" w:rsidRDefault="000D626B" w:rsidP="00AC004F">
      <w:pPr>
        <w:spacing w:line="360" w:lineRule="auto"/>
        <w:ind w:firstLine="708"/>
        <w:rPr>
          <w:b/>
          <w:shd w:val="clear" w:color="auto" w:fill="FFFFFF"/>
        </w:rPr>
      </w:pPr>
      <w:r w:rsidRPr="000703B9">
        <w:rPr>
          <w:b/>
          <w:shd w:val="clear" w:color="auto" w:fill="FFFFFF"/>
        </w:rPr>
        <w:t xml:space="preserve">Valor presente líquido </w:t>
      </w:r>
      <w:r>
        <w:rPr>
          <w:b/>
          <w:shd w:val="clear" w:color="auto" w:fill="FFFFFF"/>
        </w:rPr>
        <w:t>[</w:t>
      </w:r>
      <w:r w:rsidRPr="000703B9">
        <w:rPr>
          <w:b/>
          <w:shd w:val="clear" w:color="auto" w:fill="FFFFFF"/>
        </w:rPr>
        <w:t>VPL</w:t>
      </w:r>
      <w:r>
        <w:rPr>
          <w:b/>
          <w:shd w:val="clear" w:color="auto" w:fill="FFFFFF"/>
        </w:rPr>
        <w:t>]</w:t>
      </w:r>
    </w:p>
    <w:p w:rsidR="000D626B" w:rsidRDefault="000D626B" w:rsidP="000D626B">
      <w:pPr>
        <w:spacing w:line="360" w:lineRule="auto"/>
        <w:rPr>
          <w:shd w:val="clear" w:color="auto" w:fill="FFFFFF"/>
        </w:rPr>
      </w:pPr>
      <w:r w:rsidRPr="00661D5D">
        <w:rPr>
          <w:shd w:val="clear" w:color="auto" w:fill="FFFFFF"/>
        </w:rPr>
        <w:tab/>
        <w:t>É o somatório de fluxo de caixa líquido, projetado durante um determinado período de tempo e descontado a uma determinada taxa de juros. Se o VPL do projeto for maior que zero, este deve ser aceito; do contrário deve ser rejeitado. Além disso, ao se comparar dois ou mais projetos, aquele com maior VPL é o mais vantajoso (</w:t>
      </w:r>
      <w:proofErr w:type="spellStart"/>
      <w:r w:rsidRPr="00661D5D">
        <w:rPr>
          <w:shd w:val="clear" w:color="auto" w:fill="FFFFFF"/>
        </w:rPr>
        <w:t>Perina</w:t>
      </w:r>
      <w:proofErr w:type="spellEnd"/>
      <w:r w:rsidRPr="00661D5D">
        <w:rPr>
          <w:shd w:val="clear" w:color="auto" w:fill="FFFFFF"/>
        </w:rPr>
        <w:t>, 2013).</w:t>
      </w:r>
    </w:p>
    <w:p w:rsidR="000D626B" w:rsidRDefault="000D626B" w:rsidP="00AC004F">
      <w:pPr>
        <w:spacing w:line="360" w:lineRule="auto"/>
        <w:ind w:firstLine="708"/>
        <w:rPr>
          <w:b/>
          <w:shd w:val="clear" w:color="auto" w:fill="FFFFFF"/>
        </w:rPr>
      </w:pPr>
      <w:r w:rsidRPr="000703B9">
        <w:rPr>
          <w:b/>
          <w:shd w:val="clear" w:color="auto" w:fill="FFFFFF"/>
        </w:rPr>
        <w:lastRenderedPageBreak/>
        <w:t xml:space="preserve">Taxa interna de retorno </w:t>
      </w:r>
      <w:r>
        <w:rPr>
          <w:b/>
          <w:shd w:val="clear" w:color="auto" w:fill="FFFFFF"/>
        </w:rPr>
        <w:t>[</w:t>
      </w:r>
      <w:r w:rsidRPr="000703B9">
        <w:rPr>
          <w:b/>
          <w:shd w:val="clear" w:color="auto" w:fill="FFFFFF"/>
        </w:rPr>
        <w:t>TIR</w:t>
      </w:r>
      <w:r>
        <w:rPr>
          <w:b/>
          <w:shd w:val="clear" w:color="auto" w:fill="FFFFFF"/>
        </w:rPr>
        <w:t>]</w:t>
      </w:r>
    </w:p>
    <w:p w:rsidR="000D626B" w:rsidRPr="00661D5D" w:rsidRDefault="000D626B" w:rsidP="000D626B">
      <w:pPr>
        <w:spacing w:line="360" w:lineRule="auto"/>
        <w:rPr>
          <w:shd w:val="clear" w:color="auto" w:fill="FFFFFF"/>
        </w:rPr>
      </w:pPr>
      <w:r w:rsidRPr="00661D5D">
        <w:rPr>
          <w:shd w:val="clear" w:color="auto" w:fill="FFFFFF"/>
        </w:rPr>
        <w:tab/>
        <w:t xml:space="preserve">A TIR é definida como a taxa de desconto que torna o valor presente líquido do investimento igual a zero. A TIR iguala o valor presente dos fluxos futuros com o valor inicial (Cavalcante, 2015). A TIR deve também ser comparada à taxa de desconto ou taxa mínima de atratividade </w:t>
      </w:r>
      <w:r>
        <w:rPr>
          <w:shd w:val="clear" w:color="auto" w:fill="FFFFFF"/>
        </w:rPr>
        <w:t>[</w:t>
      </w:r>
      <w:r w:rsidRPr="00661D5D">
        <w:rPr>
          <w:shd w:val="clear" w:color="auto" w:fill="FFFFFF"/>
        </w:rPr>
        <w:t>TMA</w:t>
      </w:r>
      <w:r>
        <w:rPr>
          <w:shd w:val="clear" w:color="auto" w:fill="FFFFFF"/>
        </w:rPr>
        <w:t>]</w:t>
      </w:r>
      <w:r w:rsidRPr="00661D5D">
        <w:rPr>
          <w:shd w:val="clear" w:color="auto" w:fill="FFFFFF"/>
        </w:rPr>
        <w:t xml:space="preserve"> do projeto, se a TIR for maior que a TMA se aceita o projeto, do contrário torna-se inviável (</w:t>
      </w:r>
      <w:proofErr w:type="spellStart"/>
      <w:r w:rsidRPr="00661D5D">
        <w:rPr>
          <w:shd w:val="clear" w:color="auto" w:fill="FFFFFF"/>
        </w:rPr>
        <w:t>Perina</w:t>
      </w:r>
      <w:proofErr w:type="spellEnd"/>
      <w:r w:rsidRPr="00661D5D">
        <w:rPr>
          <w:shd w:val="clear" w:color="auto" w:fill="FFFFFF"/>
        </w:rPr>
        <w:t xml:space="preserve">, 2013). </w:t>
      </w:r>
    </w:p>
    <w:p w:rsidR="000D626B" w:rsidRPr="00661D5D" w:rsidRDefault="000D626B" w:rsidP="000D626B">
      <w:pPr>
        <w:spacing w:line="360" w:lineRule="auto"/>
        <w:rPr>
          <w:shd w:val="clear" w:color="auto" w:fill="FFFFFF"/>
        </w:rPr>
      </w:pPr>
      <w:r w:rsidRPr="00661D5D">
        <w:rPr>
          <w:shd w:val="clear" w:color="auto" w:fill="FFFFFF"/>
        </w:rPr>
        <w:tab/>
        <w:t>Para essa análise de viabilidade, foi utilizada TMA de 3,5 %, que seria a rentabilidade esperada se o investimento, no caso a terra, fosse utilizado para produção de outras culturas como milho e soja (</w:t>
      </w:r>
      <w:proofErr w:type="spellStart"/>
      <w:r w:rsidRPr="00661D5D">
        <w:rPr>
          <w:shd w:val="clear" w:color="auto" w:fill="FFFFFF"/>
        </w:rPr>
        <w:t>Scot</w:t>
      </w:r>
      <w:proofErr w:type="spellEnd"/>
      <w:r w:rsidRPr="00661D5D">
        <w:rPr>
          <w:shd w:val="clear" w:color="auto" w:fill="FFFFFF"/>
        </w:rPr>
        <w:t xml:space="preserve"> Consultoria, 2014).</w:t>
      </w:r>
    </w:p>
    <w:p w:rsidR="000D626B" w:rsidRPr="00661D5D" w:rsidRDefault="000D626B" w:rsidP="000D626B">
      <w:pPr>
        <w:spacing w:line="360" w:lineRule="auto"/>
        <w:rPr>
          <w:shd w:val="clear" w:color="auto" w:fill="FFFFFF"/>
        </w:rPr>
      </w:pPr>
    </w:p>
    <w:p w:rsidR="000D626B" w:rsidRDefault="000D626B" w:rsidP="00AC004F">
      <w:pPr>
        <w:spacing w:line="360" w:lineRule="auto"/>
        <w:ind w:firstLine="708"/>
        <w:rPr>
          <w:b/>
          <w:shd w:val="clear" w:color="auto" w:fill="FFFFFF"/>
        </w:rPr>
      </w:pPr>
      <w:proofErr w:type="spellStart"/>
      <w:r w:rsidRPr="000703B9">
        <w:rPr>
          <w:b/>
          <w:shd w:val="clear" w:color="auto" w:fill="FFFFFF"/>
        </w:rPr>
        <w:t>Payback</w:t>
      </w:r>
      <w:proofErr w:type="spellEnd"/>
      <w:r w:rsidRPr="000703B9">
        <w:rPr>
          <w:b/>
          <w:shd w:val="clear" w:color="auto" w:fill="FFFFFF"/>
        </w:rPr>
        <w:t xml:space="preserve"> simples</w:t>
      </w:r>
    </w:p>
    <w:p w:rsidR="000D626B" w:rsidRPr="00661D5D" w:rsidRDefault="000D626B" w:rsidP="000D626B">
      <w:pPr>
        <w:spacing w:line="360" w:lineRule="auto"/>
        <w:rPr>
          <w:shd w:val="clear" w:color="auto" w:fill="FFFFFF"/>
        </w:rPr>
      </w:pPr>
      <w:r w:rsidRPr="00661D5D">
        <w:rPr>
          <w:shd w:val="clear" w:color="auto" w:fill="FFFFFF"/>
        </w:rPr>
        <w:tab/>
        <w:t>É o período de tempo necessário para recuperar o capital investido em um projeto (</w:t>
      </w:r>
      <w:proofErr w:type="spellStart"/>
      <w:r w:rsidRPr="00661D5D">
        <w:rPr>
          <w:shd w:val="clear" w:color="auto" w:fill="FFFFFF"/>
        </w:rPr>
        <w:t>Perina</w:t>
      </w:r>
      <w:proofErr w:type="spellEnd"/>
      <w:r w:rsidRPr="00661D5D">
        <w:rPr>
          <w:shd w:val="clear" w:color="auto" w:fill="FFFFFF"/>
        </w:rPr>
        <w:t>, 2013). Embora não seja um parâmetro de decisão seguro para ser utilizado como único fator na tomada de decisão, visto que não considera o valor do dinheiro no tempo, esse método tem a vantagem de ser bastante simples e de fácil compreensão (Alves, 2014).</w:t>
      </w:r>
    </w:p>
    <w:p w:rsidR="008B7756" w:rsidRDefault="000D626B" w:rsidP="000F5025">
      <w:pPr>
        <w:spacing w:line="360" w:lineRule="auto"/>
        <w:rPr>
          <w:shd w:val="clear" w:color="auto" w:fill="FFFFFF"/>
        </w:rPr>
      </w:pPr>
      <w:r w:rsidRPr="00661D5D">
        <w:rPr>
          <w:shd w:val="clear" w:color="auto" w:fill="FFFFFF"/>
        </w:rPr>
        <w:tab/>
        <w:t xml:space="preserve">Segundo este mesmo autor, o </w:t>
      </w:r>
      <w:proofErr w:type="spellStart"/>
      <w:r w:rsidRPr="000703B9">
        <w:rPr>
          <w:shd w:val="clear" w:color="auto" w:fill="FFFFFF"/>
        </w:rPr>
        <w:t>payback</w:t>
      </w:r>
      <w:proofErr w:type="spellEnd"/>
      <w:r w:rsidRPr="00661D5D">
        <w:rPr>
          <w:i/>
          <w:shd w:val="clear" w:color="auto" w:fill="FFFFFF"/>
        </w:rPr>
        <w:t xml:space="preserve"> </w:t>
      </w:r>
      <w:r w:rsidRPr="00661D5D">
        <w:rPr>
          <w:shd w:val="clear" w:color="auto" w:fill="FFFFFF"/>
        </w:rPr>
        <w:t>simples fornece a ideia do grau de liquidez e riscos do projeto, o que pode aumentar a segurança na avaliação dos investimentos (Alves, 2014). Se o tempo para o retorno do capital investido for inferior ao período do projeto, este é considerado viável, d</w:t>
      </w:r>
      <w:r w:rsidR="008B7756">
        <w:rPr>
          <w:shd w:val="clear" w:color="auto" w:fill="FFFFFF"/>
        </w:rPr>
        <w:t xml:space="preserve">o contrário deve ser rejeitado. </w:t>
      </w:r>
      <w:r w:rsidRPr="00661D5D">
        <w:rPr>
          <w:shd w:val="clear" w:color="auto" w:fill="FFFFFF"/>
        </w:rPr>
        <w:t xml:space="preserve">Quanto menor o tempo do </w:t>
      </w:r>
      <w:proofErr w:type="spellStart"/>
      <w:r w:rsidRPr="00661D5D">
        <w:rPr>
          <w:shd w:val="clear" w:color="auto" w:fill="FFFFFF"/>
        </w:rPr>
        <w:t>payback</w:t>
      </w:r>
      <w:proofErr w:type="spellEnd"/>
      <w:r w:rsidRPr="00661D5D">
        <w:rPr>
          <w:shd w:val="clear" w:color="auto" w:fill="FFFFFF"/>
        </w:rPr>
        <w:t xml:space="preserve"> mais atrativo o projeto (</w:t>
      </w:r>
      <w:proofErr w:type="spellStart"/>
      <w:r w:rsidRPr="00661D5D">
        <w:rPr>
          <w:shd w:val="clear" w:color="auto" w:fill="FFFFFF"/>
        </w:rPr>
        <w:t>Perina</w:t>
      </w:r>
      <w:proofErr w:type="spellEnd"/>
      <w:r w:rsidRPr="00661D5D">
        <w:rPr>
          <w:shd w:val="clear" w:color="auto" w:fill="FFFFFF"/>
        </w:rPr>
        <w:t>, 201).</w:t>
      </w:r>
    </w:p>
    <w:p w:rsidR="00F44510" w:rsidRDefault="00F44510" w:rsidP="00AC004F">
      <w:pPr>
        <w:spacing w:line="360" w:lineRule="auto"/>
        <w:ind w:firstLine="708"/>
        <w:rPr>
          <w:b/>
          <w:shd w:val="clear" w:color="auto" w:fill="FFFFFF"/>
        </w:rPr>
      </w:pPr>
    </w:p>
    <w:p w:rsidR="008B7756" w:rsidRDefault="000D626B" w:rsidP="00AC004F">
      <w:pPr>
        <w:spacing w:line="360" w:lineRule="auto"/>
        <w:ind w:firstLine="708"/>
        <w:rPr>
          <w:b/>
          <w:shd w:val="clear" w:color="auto" w:fill="FFFFFF"/>
        </w:rPr>
      </w:pPr>
      <w:r w:rsidRPr="005D6572">
        <w:rPr>
          <w:b/>
          <w:shd w:val="clear" w:color="auto" w:fill="FFFFFF"/>
        </w:rPr>
        <w:t>Análise de cenários e sensibilidade</w:t>
      </w:r>
    </w:p>
    <w:p w:rsidR="00603F98" w:rsidRDefault="000D626B" w:rsidP="00246B32">
      <w:pPr>
        <w:spacing w:line="360" w:lineRule="auto"/>
        <w:rPr>
          <w:shd w:val="clear" w:color="auto" w:fill="FFFFFF"/>
        </w:rPr>
      </w:pPr>
      <w:r w:rsidRPr="00661D5D">
        <w:rPr>
          <w:shd w:val="clear" w:color="auto" w:fill="FFFFFF"/>
        </w:rPr>
        <w:tab/>
      </w:r>
      <w:r w:rsidR="00603F98">
        <w:rPr>
          <w:shd w:val="clear" w:color="auto" w:fill="FFFFFF"/>
        </w:rPr>
        <w:t>Visando</w:t>
      </w:r>
      <w:r w:rsidRPr="00661D5D">
        <w:rPr>
          <w:shd w:val="clear" w:color="auto" w:fill="FFFFFF"/>
        </w:rPr>
        <w:t xml:space="preserve"> identificar os impactos que oscilaç</w:t>
      </w:r>
      <w:r w:rsidR="00603F98">
        <w:rPr>
          <w:shd w:val="clear" w:color="auto" w:fill="FFFFFF"/>
        </w:rPr>
        <w:t>ões</w:t>
      </w:r>
      <w:r w:rsidRPr="00661D5D">
        <w:rPr>
          <w:shd w:val="clear" w:color="auto" w:fill="FFFFFF"/>
        </w:rPr>
        <w:t xml:space="preserve"> de determinada</w:t>
      </w:r>
      <w:r w:rsidR="00603F98">
        <w:rPr>
          <w:shd w:val="clear" w:color="auto" w:fill="FFFFFF"/>
        </w:rPr>
        <w:t>s</w:t>
      </w:r>
      <w:r w:rsidRPr="00661D5D">
        <w:rPr>
          <w:shd w:val="clear" w:color="auto" w:fill="FFFFFF"/>
        </w:rPr>
        <w:t xml:space="preserve"> variáve</w:t>
      </w:r>
      <w:r w:rsidR="00603F98">
        <w:rPr>
          <w:shd w:val="clear" w:color="auto" w:fill="FFFFFF"/>
        </w:rPr>
        <w:t>is</w:t>
      </w:r>
      <w:r w:rsidRPr="00661D5D">
        <w:rPr>
          <w:shd w:val="clear" w:color="auto" w:fill="FFFFFF"/>
        </w:rPr>
        <w:t xml:space="preserve"> teria</w:t>
      </w:r>
      <w:r w:rsidR="00603F98">
        <w:rPr>
          <w:shd w:val="clear" w:color="auto" w:fill="FFFFFF"/>
        </w:rPr>
        <w:t>m</w:t>
      </w:r>
      <w:r w:rsidRPr="00661D5D">
        <w:rPr>
          <w:shd w:val="clear" w:color="auto" w:fill="FFFFFF"/>
        </w:rPr>
        <w:t xml:space="preserve"> sobre a viabilidade do projeto</w:t>
      </w:r>
      <w:r w:rsidR="00603F98">
        <w:rPr>
          <w:shd w:val="clear" w:color="auto" w:fill="FFFFFF"/>
        </w:rPr>
        <w:t xml:space="preserve">, </w:t>
      </w:r>
      <w:r w:rsidRPr="00661D5D">
        <w:rPr>
          <w:shd w:val="clear" w:color="auto" w:fill="FFFFFF"/>
        </w:rPr>
        <w:t>projet</w:t>
      </w:r>
      <w:r w:rsidR="00603F98">
        <w:rPr>
          <w:shd w:val="clear" w:color="auto" w:fill="FFFFFF"/>
        </w:rPr>
        <w:t>ou</w:t>
      </w:r>
      <w:r w:rsidRPr="00661D5D">
        <w:rPr>
          <w:shd w:val="clear" w:color="auto" w:fill="FFFFFF"/>
        </w:rPr>
        <w:t>-se possíveis variações no cenário atual</w:t>
      </w:r>
      <w:r w:rsidR="00603F98">
        <w:rPr>
          <w:shd w:val="clear" w:color="auto" w:fill="FFFFFF"/>
        </w:rPr>
        <w:t xml:space="preserve">, sendo possível, então, obter estimativas para ambas modalidades de produção de cana-de-açúcar </w:t>
      </w:r>
      <w:r w:rsidR="00CE66E4">
        <w:rPr>
          <w:shd w:val="clear" w:color="auto" w:fill="FFFFFF"/>
        </w:rPr>
        <w:t xml:space="preserve">(Torres, </w:t>
      </w:r>
      <w:r w:rsidR="00603F98" w:rsidRPr="00661D5D">
        <w:rPr>
          <w:shd w:val="clear" w:color="auto" w:fill="FFFFFF"/>
        </w:rPr>
        <w:t>2014).</w:t>
      </w:r>
      <w:r w:rsidR="00603F98">
        <w:rPr>
          <w:shd w:val="clear" w:color="auto" w:fill="FFFFFF"/>
        </w:rPr>
        <w:t xml:space="preserve"> Para tanto, </w:t>
      </w:r>
      <w:r w:rsidR="00603F98" w:rsidRPr="00603F98">
        <w:rPr>
          <w:shd w:val="clear" w:color="auto" w:fill="FFFFFF"/>
        </w:rPr>
        <w:t xml:space="preserve">cenários mais otimistas </w:t>
      </w:r>
      <w:r w:rsidR="00603F98">
        <w:rPr>
          <w:shd w:val="clear" w:color="auto" w:fill="FFFFFF"/>
        </w:rPr>
        <w:t xml:space="preserve">foram considerados, sendo alteradas variáveis referentes ao </w:t>
      </w:r>
      <w:r w:rsidR="00603F98" w:rsidRPr="00603F98">
        <w:rPr>
          <w:shd w:val="clear" w:color="auto" w:fill="FFFFFF"/>
        </w:rPr>
        <w:t xml:space="preserve">valor </w:t>
      </w:r>
      <w:r w:rsidR="00603F98">
        <w:rPr>
          <w:shd w:val="clear" w:color="auto" w:fill="FFFFFF"/>
        </w:rPr>
        <w:t>pago pela</w:t>
      </w:r>
      <w:r w:rsidR="00603F98" w:rsidRPr="00603F98">
        <w:rPr>
          <w:shd w:val="clear" w:color="auto" w:fill="FFFFFF"/>
        </w:rPr>
        <w:t xml:space="preserve"> tonelada </w:t>
      </w:r>
      <w:r w:rsidR="00603F98">
        <w:rPr>
          <w:shd w:val="clear" w:color="auto" w:fill="FFFFFF"/>
        </w:rPr>
        <w:t xml:space="preserve">no sistema de fornecimento </w:t>
      </w:r>
      <w:r w:rsidR="00603F98" w:rsidRPr="00603F98">
        <w:rPr>
          <w:shd w:val="clear" w:color="auto" w:fill="FFFFFF"/>
        </w:rPr>
        <w:t>ou quantia paga, em t ha</w:t>
      </w:r>
      <w:r w:rsidR="00603F98" w:rsidRPr="00603F98">
        <w:rPr>
          <w:shd w:val="clear" w:color="auto" w:fill="FFFFFF"/>
          <w:vertAlign w:val="superscript"/>
        </w:rPr>
        <w:t>-1</w:t>
      </w:r>
      <w:r w:rsidR="00603F98" w:rsidRPr="00603F98">
        <w:rPr>
          <w:shd w:val="clear" w:color="auto" w:fill="FFFFFF"/>
        </w:rPr>
        <w:t>, no arrendamento.</w:t>
      </w:r>
    </w:p>
    <w:p w:rsidR="005A4624" w:rsidRDefault="005A4624" w:rsidP="00603F98">
      <w:pPr>
        <w:spacing w:line="360" w:lineRule="auto"/>
        <w:rPr>
          <w:sz w:val="20"/>
          <w:shd w:val="clear" w:color="auto" w:fill="FFFFFF"/>
        </w:rPr>
      </w:pPr>
      <w:r>
        <w:tab/>
      </w:r>
    </w:p>
    <w:p w:rsidR="000D626B" w:rsidRPr="00342510" w:rsidRDefault="000D626B" w:rsidP="00342510">
      <w:pPr>
        <w:spacing w:line="360" w:lineRule="auto"/>
        <w:rPr>
          <w:b/>
        </w:rPr>
      </w:pPr>
      <w:r w:rsidRPr="00661D5D">
        <w:rPr>
          <w:b/>
        </w:rPr>
        <w:t>Resultado e Discussão</w:t>
      </w:r>
    </w:p>
    <w:p w:rsidR="000D626B" w:rsidRDefault="000D626B" w:rsidP="00AC004F">
      <w:pPr>
        <w:spacing w:line="360" w:lineRule="auto"/>
        <w:ind w:firstLine="708"/>
        <w:rPr>
          <w:b/>
        </w:rPr>
      </w:pPr>
      <w:r w:rsidRPr="005D6572">
        <w:rPr>
          <w:b/>
        </w:rPr>
        <w:t>Comparativo de rentabilidade</w:t>
      </w:r>
    </w:p>
    <w:p w:rsidR="00100F45" w:rsidRDefault="000D626B" w:rsidP="000D626B">
      <w:pPr>
        <w:spacing w:line="360" w:lineRule="auto"/>
      </w:pPr>
      <w:r w:rsidRPr="00661D5D">
        <w:rPr>
          <w:b/>
        </w:rPr>
        <w:tab/>
      </w:r>
      <w:r w:rsidRPr="00661D5D">
        <w:t xml:space="preserve">Após </w:t>
      </w:r>
      <w:r w:rsidR="00100F45">
        <w:t>a coleta</w:t>
      </w:r>
      <w:r w:rsidRPr="00661D5D">
        <w:t xml:space="preserve"> </w:t>
      </w:r>
      <w:r w:rsidR="00100F45">
        <w:t>d</w:t>
      </w:r>
      <w:r w:rsidRPr="00661D5D">
        <w:t xml:space="preserve">os dados referentes aos valores de </w:t>
      </w:r>
      <w:r w:rsidR="00342510">
        <w:t>custos e venda da cana-de-açúcar</w:t>
      </w:r>
      <w:r w:rsidR="00100F45">
        <w:t xml:space="preserve">, </w:t>
      </w:r>
      <w:r w:rsidRPr="00661D5D">
        <w:t>foram projetados fluxos de caixa para cada um dos sistemas d</w:t>
      </w:r>
      <w:r>
        <w:t>e produção</w:t>
      </w:r>
      <w:r w:rsidR="00100F45">
        <w:t xml:space="preserve"> </w:t>
      </w:r>
      <w:r w:rsidR="00100F45">
        <w:lastRenderedPageBreak/>
        <w:t>(Tabelas 3 a 5)</w:t>
      </w:r>
      <w:r>
        <w:t xml:space="preserve">, fixando o preço do kg </w:t>
      </w:r>
      <w:r w:rsidRPr="00661D5D">
        <w:t>ATR a R$ 0,476</w:t>
      </w:r>
      <w:r w:rsidR="00342510">
        <w:t>3, pois</w:t>
      </w:r>
      <w:r>
        <w:t xml:space="preserve"> este </w:t>
      </w:r>
      <w:r w:rsidR="00342510">
        <w:t xml:space="preserve">foi </w:t>
      </w:r>
      <w:r>
        <w:t>o valor final da s</w:t>
      </w:r>
      <w:r w:rsidR="00342510">
        <w:t>afra de 2014/2015.</w:t>
      </w:r>
    </w:p>
    <w:p w:rsidR="00342510" w:rsidRDefault="00342510" w:rsidP="000D626B">
      <w:pPr>
        <w:spacing w:line="360" w:lineRule="auto"/>
      </w:pPr>
    </w:p>
    <w:p w:rsidR="00100F45" w:rsidRPr="005237DE" w:rsidRDefault="00100F45" w:rsidP="00F44510">
      <w:pPr>
        <w:spacing w:line="240" w:lineRule="auto"/>
      </w:pPr>
      <w:r w:rsidRPr="00A543B9">
        <w:t>Tabela 3</w:t>
      </w:r>
      <w:r w:rsidR="00342510" w:rsidRPr="00A543B9">
        <w:t>.</w:t>
      </w:r>
      <w:r w:rsidRPr="00A543B9">
        <w:t xml:space="preserve"> Fluxo de caixa </w:t>
      </w:r>
      <w:r w:rsidR="00A543B9" w:rsidRPr="00A543B9">
        <w:t xml:space="preserve">para o sistema de </w:t>
      </w:r>
      <w:r w:rsidRPr="00A543B9">
        <w:t xml:space="preserve">fornecimento </w:t>
      </w:r>
      <w:r w:rsidR="00A543B9" w:rsidRPr="00A543B9">
        <w:t xml:space="preserve">de </w:t>
      </w:r>
      <w:r w:rsidRPr="00A543B9">
        <w:t xml:space="preserve">"cana </w:t>
      </w:r>
      <w:r w:rsidRPr="00B5462E">
        <w:t>spot</w:t>
      </w:r>
      <w:r w:rsidR="00A543B9" w:rsidRPr="00A543B9">
        <w:t>" na região sudoeste do estado de São Paulo</w:t>
      </w:r>
      <w:r w:rsidR="00A543B9">
        <w:t xml:space="preserve"> na safra </w:t>
      </w:r>
      <w:r w:rsidR="00A543B9" w:rsidRPr="00A543B9">
        <w:t>de 2014/2015</w:t>
      </w:r>
      <w:r w:rsidR="00A543B9">
        <w:t xml:space="preserve"> – Cenário atual</w:t>
      </w:r>
    </w:p>
    <w:tbl>
      <w:tblPr>
        <w:tblW w:w="5000" w:type="pct"/>
        <w:tblCellMar>
          <w:left w:w="70" w:type="dxa"/>
          <w:right w:w="70" w:type="dxa"/>
        </w:tblCellMar>
        <w:tblLook w:val="04A0" w:firstRow="1" w:lastRow="0" w:firstColumn="1" w:lastColumn="0" w:noHBand="0" w:noVBand="1"/>
      </w:tblPr>
      <w:tblGrid>
        <w:gridCol w:w="1942"/>
        <w:gridCol w:w="1001"/>
        <w:gridCol w:w="1255"/>
        <w:gridCol w:w="1048"/>
        <w:gridCol w:w="1308"/>
        <w:gridCol w:w="1149"/>
        <w:gridCol w:w="941"/>
      </w:tblGrid>
      <w:tr w:rsidR="00100F45" w:rsidRPr="00427DE2" w:rsidTr="00EC7ACA">
        <w:trPr>
          <w:trHeight w:val="23"/>
        </w:trPr>
        <w:tc>
          <w:tcPr>
            <w:tcW w:w="102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left"/>
              <w:rPr>
                <w:rFonts w:eastAsia="Times New Roman"/>
                <w:bCs/>
                <w:sz w:val="18"/>
                <w:szCs w:val="18"/>
                <w:lang w:eastAsia="pt-BR"/>
              </w:rPr>
            </w:pPr>
          </w:p>
        </w:tc>
        <w:tc>
          <w:tcPr>
            <w:tcW w:w="59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0</w:t>
            </w:r>
          </w:p>
        </w:tc>
        <w:tc>
          <w:tcPr>
            <w:tcW w:w="80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w:t>
            </w:r>
          </w:p>
        </w:tc>
        <w:tc>
          <w:tcPr>
            <w:tcW w:w="65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w:t>
            </w:r>
          </w:p>
        </w:tc>
        <w:tc>
          <w:tcPr>
            <w:tcW w:w="64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3</w:t>
            </w:r>
          </w:p>
        </w:tc>
        <w:tc>
          <w:tcPr>
            <w:tcW w:w="71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4</w:t>
            </w:r>
          </w:p>
        </w:tc>
        <w:tc>
          <w:tcPr>
            <w:tcW w:w="57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5</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Área Plantio (ha)</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100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Área Colheita (ha)</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100</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100</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100</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100</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100</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B21ADB">
            <w:pPr>
              <w:spacing w:line="240" w:lineRule="auto"/>
              <w:jc w:val="left"/>
              <w:rPr>
                <w:rFonts w:eastAsia="Times New Roman"/>
                <w:sz w:val="18"/>
                <w:szCs w:val="18"/>
                <w:lang w:eastAsia="pt-BR"/>
              </w:rPr>
            </w:pPr>
            <w:r w:rsidRPr="00427DE2">
              <w:rPr>
                <w:rFonts w:eastAsia="Times New Roman"/>
                <w:sz w:val="18"/>
                <w:szCs w:val="18"/>
                <w:lang w:eastAsia="pt-BR"/>
              </w:rPr>
              <w:t>Prod. Média (t</w:t>
            </w:r>
            <w:r w:rsidR="00B21ADB">
              <w:rPr>
                <w:rFonts w:eastAsia="Times New Roman"/>
                <w:sz w:val="18"/>
                <w:szCs w:val="18"/>
                <w:lang w:eastAsia="pt-BR"/>
              </w:rPr>
              <w:t xml:space="preserve"> </w:t>
            </w:r>
            <w:r w:rsidRPr="00427DE2">
              <w:rPr>
                <w:rFonts w:eastAsia="Times New Roman"/>
                <w:sz w:val="18"/>
                <w:szCs w:val="18"/>
                <w:lang w:eastAsia="pt-BR"/>
              </w:rPr>
              <w:t>ha</w:t>
            </w:r>
            <w:r w:rsidR="00B21ADB">
              <w:rPr>
                <w:rFonts w:eastAsia="Times New Roman"/>
                <w:sz w:val="18"/>
                <w:szCs w:val="18"/>
                <w:vertAlign w:val="superscript"/>
                <w:lang w:eastAsia="pt-BR"/>
              </w:rPr>
              <w:t>-1</w:t>
            </w:r>
            <w:r w:rsidRPr="00427DE2">
              <w:rPr>
                <w:rFonts w:eastAsia="Times New Roman"/>
                <w:sz w:val="18"/>
                <w:szCs w:val="18"/>
                <w:lang w:eastAsia="pt-BR"/>
              </w:rPr>
              <w:t>)</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130</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97</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81</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71</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71</w:t>
            </w:r>
          </w:p>
        </w:tc>
      </w:tr>
      <w:tr w:rsidR="00100F45" w:rsidRPr="00427DE2" w:rsidTr="00EC7ACA">
        <w:trPr>
          <w:trHeight w:val="23"/>
        </w:trPr>
        <w:tc>
          <w:tcPr>
            <w:tcW w:w="1024"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Estimativa Ton.</w:t>
            </w:r>
          </w:p>
        </w:tc>
        <w:tc>
          <w:tcPr>
            <w:tcW w:w="591"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804"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13.000</w:t>
            </w:r>
          </w:p>
        </w:tc>
        <w:tc>
          <w:tcPr>
            <w:tcW w:w="653"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9.700</w:t>
            </w:r>
          </w:p>
        </w:tc>
        <w:tc>
          <w:tcPr>
            <w:tcW w:w="644"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8.100</w:t>
            </w:r>
          </w:p>
        </w:tc>
        <w:tc>
          <w:tcPr>
            <w:tcW w:w="711"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7.100</w:t>
            </w:r>
          </w:p>
        </w:tc>
        <w:tc>
          <w:tcPr>
            <w:tcW w:w="573"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7.100</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 xml:space="preserve">Taxa Mínima </w:t>
            </w:r>
            <w:proofErr w:type="spellStart"/>
            <w:r w:rsidRPr="00427DE2">
              <w:rPr>
                <w:rFonts w:eastAsia="Times New Roman"/>
                <w:sz w:val="18"/>
                <w:szCs w:val="18"/>
                <w:lang w:eastAsia="pt-BR"/>
              </w:rPr>
              <w:t>Atrat</w:t>
            </w:r>
            <w:proofErr w:type="spellEnd"/>
            <w:r w:rsidRPr="00427DE2">
              <w:rPr>
                <w:rFonts w:eastAsia="Times New Roman"/>
                <w:sz w:val="18"/>
                <w:szCs w:val="18"/>
                <w:lang w:eastAsia="pt-BR"/>
              </w:rPr>
              <w:t>.</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3,5%</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Taxa Imp. Renda</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44" w:type="pct"/>
            <w:tcBorders>
              <w:top w:val="nil"/>
              <w:left w:val="nil"/>
              <w:bottom w:val="nil"/>
              <w:right w:val="nil"/>
            </w:tcBorders>
            <w:shd w:val="clear" w:color="000000" w:fill="FFFFFF"/>
            <w:noWrap/>
            <w:vAlign w:val="bottom"/>
            <w:hideMark/>
          </w:tcPr>
          <w:p w:rsidR="00100F45" w:rsidRPr="00427DE2" w:rsidRDefault="00100F45" w:rsidP="00B21ADB">
            <w:pPr>
              <w:spacing w:line="240" w:lineRule="auto"/>
              <w:jc w:val="center"/>
              <w:rPr>
                <w:rFonts w:eastAsia="Times New Roman"/>
                <w:sz w:val="18"/>
                <w:szCs w:val="18"/>
                <w:lang w:eastAsia="pt-BR"/>
              </w:rPr>
            </w:pPr>
            <w:r w:rsidRPr="00427DE2">
              <w:rPr>
                <w:rFonts w:eastAsia="Times New Roman"/>
                <w:sz w:val="18"/>
                <w:szCs w:val="18"/>
                <w:lang w:eastAsia="pt-BR"/>
              </w:rPr>
              <w:t xml:space="preserve"> CCT (R$</w:t>
            </w:r>
            <w:r w:rsidR="00B21ADB">
              <w:rPr>
                <w:rFonts w:eastAsia="Times New Roman"/>
                <w:sz w:val="18"/>
                <w:szCs w:val="18"/>
                <w:lang w:eastAsia="pt-BR"/>
              </w:rPr>
              <w:t xml:space="preserve"> </w:t>
            </w:r>
            <w:r w:rsidRPr="00427DE2">
              <w:rPr>
                <w:rFonts w:eastAsia="Times New Roman"/>
                <w:sz w:val="18"/>
                <w:szCs w:val="18"/>
                <w:lang w:eastAsia="pt-BR"/>
              </w:rPr>
              <w:t>t</w:t>
            </w:r>
            <w:r w:rsidR="00B21ADB" w:rsidRPr="00B21ADB">
              <w:rPr>
                <w:rFonts w:eastAsia="Times New Roman"/>
                <w:sz w:val="18"/>
                <w:szCs w:val="18"/>
                <w:vertAlign w:val="superscript"/>
                <w:lang w:eastAsia="pt-BR"/>
              </w:rPr>
              <w:t>-1</w:t>
            </w:r>
            <w:r w:rsidRPr="00427DE2">
              <w:rPr>
                <w:rFonts w:eastAsia="Times New Roman"/>
                <w:sz w:val="18"/>
                <w:szCs w:val="18"/>
                <w:lang w:eastAsia="pt-BR"/>
              </w:rPr>
              <w:t>)</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 xml:space="preserve">Taxa </w:t>
            </w:r>
            <w:proofErr w:type="spellStart"/>
            <w:r w:rsidRPr="00427DE2">
              <w:rPr>
                <w:rFonts w:eastAsia="Times New Roman"/>
                <w:sz w:val="18"/>
                <w:szCs w:val="18"/>
                <w:lang w:eastAsia="pt-BR"/>
              </w:rPr>
              <w:t>FunRural</w:t>
            </w:r>
            <w:proofErr w:type="spellEnd"/>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2,3%</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44" w:type="pct"/>
            <w:tcBorders>
              <w:top w:val="nil"/>
              <w:left w:val="nil"/>
              <w:bottom w:val="nil"/>
              <w:right w:val="nil"/>
            </w:tcBorders>
            <w:shd w:val="clear" w:color="000000" w:fill="FFFFFF"/>
            <w:noWrap/>
            <w:vAlign w:val="bottom"/>
            <w:hideMark/>
          </w:tcPr>
          <w:p w:rsidR="00100F45" w:rsidRPr="00427DE2" w:rsidRDefault="00100F45" w:rsidP="00B21ADB">
            <w:pPr>
              <w:spacing w:line="240" w:lineRule="auto"/>
              <w:jc w:val="center"/>
              <w:rPr>
                <w:rFonts w:eastAsia="Times New Roman"/>
                <w:sz w:val="18"/>
                <w:szCs w:val="18"/>
                <w:lang w:eastAsia="pt-BR"/>
              </w:rPr>
            </w:pPr>
            <w:r w:rsidRPr="00427DE2">
              <w:rPr>
                <w:rFonts w:eastAsia="Times New Roman"/>
                <w:sz w:val="18"/>
                <w:szCs w:val="18"/>
                <w:lang w:eastAsia="pt-BR"/>
              </w:rPr>
              <w:t>Soca (R$</w:t>
            </w:r>
            <w:r w:rsidR="00B21ADB">
              <w:rPr>
                <w:rFonts w:eastAsia="Times New Roman"/>
                <w:sz w:val="18"/>
                <w:szCs w:val="18"/>
                <w:lang w:eastAsia="pt-BR"/>
              </w:rPr>
              <w:t xml:space="preserve"> </w:t>
            </w:r>
            <w:r w:rsidRPr="00427DE2">
              <w:rPr>
                <w:rFonts w:eastAsia="Times New Roman"/>
                <w:sz w:val="18"/>
                <w:szCs w:val="18"/>
                <w:lang w:eastAsia="pt-BR"/>
              </w:rPr>
              <w:t>ha</w:t>
            </w:r>
            <w:r w:rsidR="00B21ADB" w:rsidRPr="00B21ADB">
              <w:rPr>
                <w:rFonts w:eastAsia="Times New Roman"/>
                <w:sz w:val="18"/>
                <w:szCs w:val="18"/>
                <w:vertAlign w:val="superscript"/>
                <w:lang w:eastAsia="pt-BR"/>
              </w:rPr>
              <w:t>-1</w:t>
            </w:r>
            <w:r w:rsidRPr="00427DE2">
              <w:rPr>
                <w:rFonts w:eastAsia="Times New Roman"/>
                <w:sz w:val="18"/>
                <w:szCs w:val="18"/>
                <w:lang w:eastAsia="pt-BR"/>
              </w:rPr>
              <w:t>)</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971,67</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r>
      <w:tr w:rsidR="00100F45" w:rsidRPr="00427DE2" w:rsidTr="00EC7ACA">
        <w:trPr>
          <w:trHeight w:val="23"/>
        </w:trPr>
        <w:tc>
          <w:tcPr>
            <w:tcW w:w="1024" w:type="pct"/>
            <w:tcBorders>
              <w:top w:val="nil"/>
              <w:left w:val="nil"/>
              <w:bottom w:val="single" w:sz="8" w:space="0" w:color="auto"/>
              <w:right w:val="nil"/>
            </w:tcBorders>
            <w:shd w:val="clear" w:color="000000" w:fill="FFFFFF"/>
            <w:noWrap/>
            <w:vAlign w:val="bottom"/>
            <w:hideMark/>
          </w:tcPr>
          <w:p w:rsidR="00100F45" w:rsidRPr="00427DE2" w:rsidRDefault="00B21ADB" w:rsidP="00B21ADB">
            <w:pPr>
              <w:spacing w:line="240" w:lineRule="auto"/>
              <w:jc w:val="left"/>
              <w:rPr>
                <w:rFonts w:eastAsia="Times New Roman"/>
                <w:sz w:val="18"/>
                <w:szCs w:val="18"/>
                <w:lang w:eastAsia="pt-BR"/>
              </w:rPr>
            </w:pPr>
            <w:r>
              <w:rPr>
                <w:rFonts w:eastAsia="Times New Roman"/>
                <w:sz w:val="18"/>
                <w:szCs w:val="18"/>
                <w:lang w:eastAsia="pt-BR"/>
              </w:rPr>
              <w:t>ATR (kg t</w:t>
            </w:r>
            <w:r w:rsidRPr="00B21ADB">
              <w:rPr>
                <w:rFonts w:eastAsia="Times New Roman"/>
                <w:sz w:val="18"/>
                <w:szCs w:val="18"/>
                <w:vertAlign w:val="superscript"/>
                <w:lang w:eastAsia="pt-BR"/>
              </w:rPr>
              <w:t>-1</w:t>
            </w:r>
            <w:r w:rsidR="00100F45" w:rsidRPr="00427DE2">
              <w:rPr>
                <w:rFonts w:eastAsia="Times New Roman"/>
                <w:sz w:val="18"/>
                <w:szCs w:val="18"/>
                <w:lang w:eastAsia="pt-BR"/>
              </w:rPr>
              <w:t>)</w:t>
            </w:r>
          </w:p>
        </w:tc>
        <w:tc>
          <w:tcPr>
            <w:tcW w:w="591"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p>
        </w:tc>
        <w:tc>
          <w:tcPr>
            <w:tcW w:w="804" w:type="pct"/>
            <w:tcBorders>
              <w:top w:val="nil"/>
              <w:left w:val="nil"/>
              <w:bottom w:val="single" w:sz="8" w:space="0" w:color="auto"/>
              <w:right w:val="nil"/>
            </w:tcBorders>
            <w:shd w:val="clear" w:color="000000" w:fill="FFFFFF"/>
            <w:noWrap/>
            <w:vAlign w:val="bottom"/>
            <w:hideMark/>
          </w:tcPr>
          <w:p w:rsidR="00100F45" w:rsidRPr="00427DE2" w:rsidRDefault="00100F45" w:rsidP="00B21ADB">
            <w:pPr>
              <w:tabs>
                <w:tab w:val="left" w:pos="504"/>
              </w:tabs>
              <w:spacing w:line="240" w:lineRule="auto"/>
              <w:jc w:val="center"/>
              <w:rPr>
                <w:rFonts w:eastAsia="Times New Roman"/>
                <w:sz w:val="18"/>
                <w:szCs w:val="18"/>
                <w:lang w:eastAsia="pt-BR"/>
              </w:rPr>
            </w:pPr>
            <w:r w:rsidRPr="00427DE2">
              <w:rPr>
                <w:rFonts w:eastAsia="Times New Roman"/>
                <w:sz w:val="18"/>
                <w:szCs w:val="18"/>
                <w:lang w:eastAsia="pt-BR"/>
              </w:rPr>
              <w:t>ATR (R$</w:t>
            </w:r>
            <w:r w:rsidR="00B21ADB">
              <w:rPr>
                <w:rFonts w:eastAsia="Times New Roman"/>
                <w:sz w:val="18"/>
                <w:szCs w:val="18"/>
                <w:lang w:eastAsia="pt-BR"/>
              </w:rPr>
              <w:t xml:space="preserve"> k</w:t>
            </w:r>
            <w:r w:rsidRPr="00427DE2">
              <w:rPr>
                <w:rFonts w:eastAsia="Times New Roman"/>
                <w:sz w:val="18"/>
                <w:szCs w:val="18"/>
                <w:lang w:eastAsia="pt-BR"/>
              </w:rPr>
              <w:t>g</w:t>
            </w:r>
            <w:r w:rsidR="00B21ADB" w:rsidRPr="00B21ADB">
              <w:rPr>
                <w:rFonts w:eastAsia="Times New Roman"/>
                <w:sz w:val="18"/>
                <w:szCs w:val="18"/>
                <w:vertAlign w:val="superscript"/>
                <w:lang w:eastAsia="pt-BR"/>
              </w:rPr>
              <w:t>-1</w:t>
            </w:r>
            <w:r w:rsidRPr="00427DE2">
              <w:rPr>
                <w:rFonts w:eastAsia="Times New Roman"/>
                <w:sz w:val="18"/>
                <w:szCs w:val="18"/>
                <w:lang w:eastAsia="pt-BR"/>
              </w:rPr>
              <w:t>)</w:t>
            </w:r>
          </w:p>
        </w:tc>
        <w:tc>
          <w:tcPr>
            <w:tcW w:w="653"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p>
        </w:tc>
        <w:tc>
          <w:tcPr>
            <w:tcW w:w="644"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 xml:space="preserve">Vl. </w:t>
            </w:r>
            <w:proofErr w:type="spellStart"/>
            <w:r w:rsidRPr="00427DE2">
              <w:rPr>
                <w:rFonts w:eastAsia="Times New Roman"/>
                <w:sz w:val="18"/>
                <w:szCs w:val="18"/>
                <w:lang w:eastAsia="pt-BR"/>
              </w:rPr>
              <w:t>Ton</w:t>
            </w:r>
            <w:proofErr w:type="spellEnd"/>
            <w:r w:rsidRPr="00427DE2">
              <w:rPr>
                <w:rFonts w:eastAsia="Times New Roman"/>
                <w:sz w:val="18"/>
                <w:szCs w:val="18"/>
                <w:lang w:eastAsia="pt-BR"/>
              </w:rPr>
              <w:t xml:space="preserve"> (R$)</w:t>
            </w:r>
          </w:p>
        </w:tc>
        <w:tc>
          <w:tcPr>
            <w:tcW w:w="711"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R$ 38,00</w:t>
            </w:r>
          </w:p>
        </w:tc>
        <w:tc>
          <w:tcPr>
            <w:tcW w:w="573" w:type="pct"/>
            <w:tcBorders>
              <w:top w:val="nil"/>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bCs/>
                <w:sz w:val="18"/>
                <w:szCs w:val="18"/>
                <w:lang w:eastAsia="pt-BR"/>
              </w:rPr>
            </w:pPr>
            <w:r w:rsidRPr="00427DE2">
              <w:rPr>
                <w:rFonts w:eastAsia="Times New Roman"/>
                <w:bCs/>
                <w:sz w:val="18"/>
                <w:szCs w:val="18"/>
                <w:lang w:eastAsia="pt-BR"/>
              </w:rPr>
              <w:t>RECEITAS</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3</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4</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5</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Venda cana de açúcar</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494.000</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368.600</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307.800</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269.800</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269.800</w:t>
            </w:r>
          </w:p>
        </w:tc>
      </w:tr>
      <w:tr w:rsidR="00100F45" w:rsidRPr="00427DE2" w:rsidTr="00EC7ACA">
        <w:trPr>
          <w:trHeight w:val="23"/>
        </w:trPr>
        <w:tc>
          <w:tcPr>
            <w:tcW w:w="102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left"/>
              <w:rPr>
                <w:rFonts w:eastAsia="Times New Roman"/>
                <w:bCs/>
                <w:sz w:val="18"/>
                <w:szCs w:val="18"/>
                <w:lang w:eastAsia="pt-BR"/>
              </w:rPr>
            </w:pPr>
            <w:r w:rsidRPr="00427DE2">
              <w:rPr>
                <w:rFonts w:eastAsia="Times New Roman"/>
                <w:bCs/>
                <w:sz w:val="18"/>
                <w:szCs w:val="18"/>
                <w:lang w:eastAsia="pt-BR"/>
              </w:rPr>
              <w:t>RECEITA TOTAL</w:t>
            </w:r>
          </w:p>
        </w:tc>
        <w:tc>
          <w:tcPr>
            <w:tcW w:w="59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0</w:t>
            </w:r>
          </w:p>
        </w:tc>
        <w:tc>
          <w:tcPr>
            <w:tcW w:w="80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494.000</w:t>
            </w:r>
          </w:p>
        </w:tc>
        <w:tc>
          <w:tcPr>
            <w:tcW w:w="65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368.600</w:t>
            </w:r>
          </w:p>
        </w:tc>
        <w:tc>
          <w:tcPr>
            <w:tcW w:w="64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307.800</w:t>
            </w:r>
          </w:p>
        </w:tc>
        <w:tc>
          <w:tcPr>
            <w:tcW w:w="71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269.800</w:t>
            </w:r>
          </w:p>
        </w:tc>
        <w:tc>
          <w:tcPr>
            <w:tcW w:w="57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269.800</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bCs/>
                <w:sz w:val="18"/>
                <w:szCs w:val="18"/>
                <w:lang w:eastAsia="pt-BR"/>
              </w:rPr>
            </w:pPr>
            <w:r w:rsidRPr="00427DE2">
              <w:rPr>
                <w:rFonts w:eastAsia="Times New Roman"/>
                <w:bCs/>
                <w:sz w:val="18"/>
                <w:szCs w:val="18"/>
                <w:lang w:eastAsia="pt-BR"/>
              </w:rPr>
              <w:t>DESPESAS</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Custo Plantio</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509.495</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Custos CCT</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Custo Tratos Soca</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97.167</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97.167</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97.167</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97.167</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proofErr w:type="spellStart"/>
            <w:r w:rsidRPr="00427DE2">
              <w:rPr>
                <w:rFonts w:eastAsia="Times New Roman"/>
                <w:sz w:val="18"/>
                <w:szCs w:val="18"/>
                <w:lang w:eastAsia="pt-BR"/>
              </w:rPr>
              <w:t>Funrural</w:t>
            </w:r>
            <w:proofErr w:type="spellEnd"/>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11.362</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8.478</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7.079</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6.205</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6.205</w:t>
            </w:r>
          </w:p>
        </w:tc>
      </w:tr>
      <w:tr w:rsidR="00100F45" w:rsidRPr="00427DE2" w:rsidTr="00EC7ACA">
        <w:trPr>
          <w:trHeight w:val="23"/>
        </w:trPr>
        <w:tc>
          <w:tcPr>
            <w:tcW w:w="102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left"/>
              <w:rPr>
                <w:rFonts w:eastAsia="Times New Roman"/>
                <w:bCs/>
                <w:sz w:val="18"/>
                <w:szCs w:val="18"/>
                <w:lang w:eastAsia="pt-BR"/>
              </w:rPr>
            </w:pPr>
            <w:r w:rsidRPr="00427DE2">
              <w:rPr>
                <w:rFonts w:eastAsia="Times New Roman"/>
                <w:bCs/>
                <w:sz w:val="18"/>
                <w:szCs w:val="18"/>
                <w:lang w:eastAsia="pt-BR"/>
              </w:rPr>
              <w:t>DESPESA TOTAL</w:t>
            </w:r>
          </w:p>
        </w:tc>
        <w:tc>
          <w:tcPr>
            <w:tcW w:w="59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509.495</w:t>
            </w:r>
          </w:p>
        </w:tc>
        <w:tc>
          <w:tcPr>
            <w:tcW w:w="80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108.529</w:t>
            </w:r>
          </w:p>
        </w:tc>
        <w:tc>
          <w:tcPr>
            <w:tcW w:w="65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105.645</w:t>
            </w:r>
          </w:p>
        </w:tc>
        <w:tc>
          <w:tcPr>
            <w:tcW w:w="64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104.246</w:t>
            </w:r>
          </w:p>
        </w:tc>
        <w:tc>
          <w:tcPr>
            <w:tcW w:w="71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103.372</w:t>
            </w:r>
          </w:p>
        </w:tc>
        <w:tc>
          <w:tcPr>
            <w:tcW w:w="57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6.205</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Lucro antes IR</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-509.495</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385.471</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262.955</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203.554</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166.428</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263.595</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Imposto de Renda</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0</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98.800</w:t>
            </w: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73.720</w:t>
            </w: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61.560</w:t>
            </w: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53.960</w:t>
            </w: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53.960</w:t>
            </w:r>
          </w:p>
        </w:tc>
      </w:tr>
      <w:tr w:rsidR="00100F45" w:rsidRPr="00427DE2" w:rsidTr="00EC7ACA">
        <w:trPr>
          <w:trHeight w:val="23"/>
        </w:trPr>
        <w:tc>
          <w:tcPr>
            <w:tcW w:w="102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left"/>
              <w:rPr>
                <w:rFonts w:eastAsia="Times New Roman"/>
                <w:sz w:val="18"/>
                <w:szCs w:val="18"/>
                <w:lang w:eastAsia="pt-BR"/>
              </w:rPr>
            </w:pPr>
            <w:r w:rsidRPr="00427DE2">
              <w:rPr>
                <w:rFonts w:eastAsia="Times New Roman"/>
                <w:sz w:val="18"/>
                <w:szCs w:val="18"/>
                <w:lang w:eastAsia="pt-BR"/>
              </w:rPr>
              <w:t>Invest. (Terra)</w:t>
            </w:r>
          </w:p>
        </w:tc>
        <w:tc>
          <w:tcPr>
            <w:tcW w:w="59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-2.310.741</w:t>
            </w:r>
          </w:p>
        </w:tc>
        <w:tc>
          <w:tcPr>
            <w:tcW w:w="80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5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644"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711"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p>
        </w:tc>
        <w:tc>
          <w:tcPr>
            <w:tcW w:w="573" w:type="pct"/>
            <w:tcBorders>
              <w:top w:val="nil"/>
              <w:left w:val="nil"/>
              <w:bottom w:val="nil"/>
              <w:right w:val="nil"/>
            </w:tcBorders>
            <w:shd w:val="clear" w:color="000000" w:fill="FFFFFF"/>
            <w:noWrap/>
            <w:vAlign w:val="bottom"/>
            <w:hideMark/>
          </w:tcPr>
          <w:p w:rsidR="00100F45" w:rsidRPr="00427DE2" w:rsidRDefault="00100F45" w:rsidP="00427DE2">
            <w:pPr>
              <w:spacing w:line="240" w:lineRule="auto"/>
              <w:jc w:val="center"/>
              <w:rPr>
                <w:rFonts w:eastAsia="Times New Roman"/>
                <w:sz w:val="18"/>
                <w:szCs w:val="18"/>
                <w:lang w:eastAsia="pt-BR"/>
              </w:rPr>
            </w:pPr>
            <w:r w:rsidRPr="00427DE2">
              <w:rPr>
                <w:rFonts w:eastAsia="Times New Roman"/>
                <w:sz w:val="18"/>
                <w:szCs w:val="18"/>
                <w:lang w:eastAsia="pt-BR"/>
              </w:rPr>
              <w:t>2.310.741</w:t>
            </w:r>
          </w:p>
        </w:tc>
      </w:tr>
      <w:tr w:rsidR="00100F45" w:rsidRPr="00427DE2" w:rsidTr="00EC7ACA">
        <w:trPr>
          <w:trHeight w:val="23"/>
        </w:trPr>
        <w:tc>
          <w:tcPr>
            <w:tcW w:w="102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left"/>
              <w:rPr>
                <w:rFonts w:eastAsia="Times New Roman"/>
                <w:bCs/>
                <w:sz w:val="18"/>
                <w:szCs w:val="18"/>
                <w:lang w:eastAsia="pt-BR"/>
              </w:rPr>
            </w:pPr>
            <w:r w:rsidRPr="00427DE2">
              <w:rPr>
                <w:rFonts w:eastAsia="Times New Roman"/>
                <w:bCs/>
                <w:sz w:val="18"/>
                <w:szCs w:val="18"/>
                <w:lang w:eastAsia="pt-BR"/>
              </w:rPr>
              <w:t>F.C. LIQUIDO</w:t>
            </w:r>
          </w:p>
        </w:tc>
        <w:tc>
          <w:tcPr>
            <w:tcW w:w="59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-2.820.236</w:t>
            </w:r>
          </w:p>
        </w:tc>
        <w:tc>
          <w:tcPr>
            <w:tcW w:w="80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286.671</w:t>
            </w:r>
          </w:p>
        </w:tc>
        <w:tc>
          <w:tcPr>
            <w:tcW w:w="65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189.235</w:t>
            </w:r>
          </w:p>
        </w:tc>
        <w:tc>
          <w:tcPr>
            <w:tcW w:w="64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141.994</w:t>
            </w:r>
          </w:p>
        </w:tc>
        <w:tc>
          <w:tcPr>
            <w:tcW w:w="71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112.468</w:t>
            </w:r>
          </w:p>
        </w:tc>
        <w:tc>
          <w:tcPr>
            <w:tcW w:w="57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2.520.376</w:t>
            </w:r>
          </w:p>
        </w:tc>
      </w:tr>
      <w:tr w:rsidR="00100F45" w:rsidRPr="00427DE2" w:rsidTr="00EC7ACA">
        <w:trPr>
          <w:trHeight w:val="23"/>
        </w:trPr>
        <w:tc>
          <w:tcPr>
            <w:tcW w:w="102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left"/>
              <w:rPr>
                <w:rFonts w:eastAsia="Times New Roman"/>
                <w:bCs/>
                <w:sz w:val="18"/>
                <w:szCs w:val="18"/>
                <w:lang w:eastAsia="pt-BR"/>
              </w:rPr>
            </w:pPr>
            <w:r w:rsidRPr="00427DE2">
              <w:rPr>
                <w:rFonts w:eastAsia="Times New Roman"/>
                <w:bCs/>
                <w:sz w:val="18"/>
                <w:szCs w:val="18"/>
                <w:lang w:eastAsia="pt-BR"/>
              </w:rPr>
              <w:t>F.C. ACUMUL.</w:t>
            </w:r>
          </w:p>
        </w:tc>
        <w:tc>
          <w:tcPr>
            <w:tcW w:w="59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-2.820.236</w:t>
            </w:r>
          </w:p>
        </w:tc>
        <w:tc>
          <w:tcPr>
            <w:tcW w:w="80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-2.533.565</w:t>
            </w:r>
          </w:p>
        </w:tc>
        <w:tc>
          <w:tcPr>
            <w:tcW w:w="65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-2.344.330</w:t>
            </w:r>
          </w:p>
        </w:tc>
        <w:tc>
          <w:tcPr>
            <w:tcW w:w="644"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-2.202.336</w:t>
            </w:r>
          </w:p>
        </w:tc>
        <w:tc>
          <w:tcPr>
            <w:tcW w:w="711"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-2.089.869</w:t>
            </w:r>
          </w:p>
        </w:tc>
        <w:tc>
          <w:tcPr>
            <w:tcW w:w="573" w:type="pct"/>
            <w:tcBorders>
              <w:top w:val="single" w:sz="4" w:space="0" w:color="auto"/>
              <w:left w:val="nil"/>
              <w:bottom w:val="single" w:sz="8" w:space="0" w:color="auto"/>
              <w:right w:val="nil"/>
            </w:tcBorders>
            <w:shd w:val="clear" w:color="000000" w:fill="FFFFFF"/>
            <w:noWrap/>
            <w:vAlign w:val="bottom"/>
            <w:hideMark/>
          </w:tcPr>
          <w:p w:rsidR="00100F45" w:rsidRPr="00427DE2" w:rsidRDefault="00100F45" w:rsidP="00427DE2">
            <w:pPr>
              <w:spacing w:line="240" w:lineRule="auto"/>
              <w:jc w:val="center"/>
              <w:rPr>
                <w:rFonts w:eastAsia="Times New Roman"/>
                <w:bCs/>
                <w:sz w:val="18"/>
                <w:szCs w:val="18"/>
                <w:lang w:eastAsia="pt-BR"/>
              </w:rPr>
            </w:pPr>
            <w:r w:rsidRPr="00427DE2">
              <w:rPr>
                <w:rFonts w:eastAsia="Times New Roman"/>
                <w:bCs/>
                <w:sz w:val="18"/>
                <w:szCs w:val="18"/>
                <w:lang w:eastAsia="pt-BR"/>
              </w:rPr>
              <w:t>430.507</w:t>
            </w:r>
          </w:p>
        </w:tc>
      </w:tr>
    </w:tbl>
    <w:p w:rsidR="00EC7ACA" w:rsidRPr="00427DE2" w:rsidRDefault="00EC7ACA" w:rsidP="00A543B9">
      <w:pPr>
        <w:spacing w:line="360" w:lineRule="auto"/>
        <w:rPr>
          <w:sz w:val="18"/>
          <w:szCs w:val="18"/>
          <w:highlight w:val="yellow"/>
        </w:rPr>
      </w:pPr>
    </w:p>
    <w:p w:rsidR="00EC7ACA" w:rsidRPr="005237DE" w:rsidRDefault="00EC7ACA" w:rsidP="00F44510">
      <w:pPr>
        <w:spacing w:line="240" w:lineRule="auto"/>
      </w:pPr>
      <w:r w:rsidRPr="00A543B9">
        <w:t xml:space="preserve">Tabela 4. </w:t>
      </w:r>
      <w:r w:rsidR="00A543B9" w:rsidRPr="00A543B9">
        <w:t>Fluxo de caixa para o sistema de fornecimento de "cana esteira" na região sudoeste do estado de São Paulo</w:t>
      </w:r>
      <w:r w:rsidR="00A543B9">
        <w:t xml:space="preserve"> na safra de </w:t>
      </w:r>
      <w:r w:rsidR="00A543B9" w:rsidRPr="00A543B9">
        <w:t>2014/2015</w:t>
      </w:r>
      <w:r w:rsidR="00A543B9">
        <w:t xml:space="preserve"> – Cenário atual</w:t>
      </w:r>
    </w:p>
    <w:tbl>
      <w:tblPr>
        <w:tblW w:w="5000" w:type="pct"/>
        <w:tblCellMar>
          <w:left w:w="70" w:type="dxa"/>
          <w:right w:w="70" w:type="dxa"/>
        </w:tblCellMar>
        <w:tblLook w:val="04A0" w:firstRow="1" w:lastRow="0" w:firstColumn="1" w:lastColumn="0" w:noHBand="0" w:noVBand="1"/>
      </w:tblPr>
      <w:tblGrid>
        <w:gridCol w:w="1861"/>
        <w:gridCol w:w="1050"/>
        <w:gridCol w:w="1351"/>
        <w:gridCol w:w="1047"/>
        <w:gridCol w:w="1308"/>
        <w:gridCol w:w="1001"/>
        <w:gridCol w:w="1026"/>
      </w:tblGrid>
      <w:tr w:rsidR="00EC7ACA" w:rsidRPr="005237DE" w:rsidTr="00B21ADB">
        <w:trPr>
          <w:trHeight w:val="20"/>
        </w:trPr>
        <w:tc>
          <w:tcPr>
            <w:tcW w:w="1053" w:type="pct"/>
            <w:tcBorders>
              <w:top w:val="single" w:sz="4" w:space="0" w:color="auto"/>
              <w:left w:val="nil"/>
              <w:bottom w:val="single" w:sz="8" w:space="0" w:color="auto"/>
              <w:right w:val="nil"/>
            </w:tcBorders>
            <w:shd w:val="clear" w:color="000000" w:fill="FFFFFF"/>
            <w:noWrap/>
            <w:vAlign w:val="bottom"/>
            <w:hideMark/>
          </w:tcPr>
          <w:p w:rsidR="00EC7ACA" w:rsidRPr="005237DE" w:rsidRDefault="00652759" w:rsidP="00652759">
            <w:pPr>
              <w:spacing w:line="240" w:lineRule="auto"/>
              <w:jc w:val="left"/>
              <w:rPr>
                <w:rFonts w:eastAsia="Times New Roman"/>
                <w:bCs/>
                <w:sz w:val="18"/>
                <w:szCs w:val="18"/>
                <w:lang w:eastAsia="pt-BR"/>
              </w:rPr>
            </w:pPr>
            <w:r>
              <w:rPr>
                <w:rFonts w:eastAsia="Times New Roman"/>
                <w:bCs/>
                <w:sz w:val="18"/>
                <w:szCs w:val="18"/>
                <w:lang w:eastAsia="pt-BR"/>
              </w:rPr>
              <w:t>Ano</w:t>
            </w:r>
          </w:p>
        </w:tc>
        <w:tc>
          <w:tcPr>
            <w:tcW w:w="624"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0</w:t>
            </w:r>
          </w:p>
        </w:tc>
        <w:tc>
          <w:tcPr>
            <w:tcW w:w="7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w:t>
            </w:r>
          </w:p>
        </w:tc>
        <w:tc>
          <w:tcPr>
            <w:tcW w:w="62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w:t>
            </w:r>
          </w:p>
        </w:tc>
        <w:tc>
          <w:tcPr>
            <w:tcW w:w="6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3</w:t>
            </w:r>
          </w:p>
        </w:tc>
        <w:tc>
          <w:tcPr>
            <w:tcW w:w="58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4</w:t>
            </w:r>
          </w:p>
        </w:tc>
        <w:tc>
          <w:tcPr>
            <w:tcW w:w="62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5</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Área Plantio (ha)</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Área Colheita (ha)</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B21ADB" w:rsidP="00652759">
            <w:pPr>
              <w:spacing w:line="240" w:lineRule="auto"/>
              <w:jc w:val="left"/>
              <w:rPr>
                <w:rFonts w:eastAsia="Times New Roman"/>
                <w:sz w:val="18"/>
                <w:szCs w:val="18"/>
                <w:lang w:eastAsia="pt-BR"/>
              </w:rPr>
            </w:pPr>
            <w:r>
              <w:rPr>
                <w:rFonts w:eastAsia="Times New Roman"/>
                <w:sz w:val="18"/>
                <w:szCs w:val="18"/>
                <w:lang w:eastAsia="pt-BR"/>
              </w:rPr>
              <w:t xml:space="preserve">Prod. Média (t </w:t>
            </w:r>
            <w:r w:rsidR="00EC7ACA" w:rsidRPr="005237DE">
              <w:rPr>
                <w:rFonts w:eastAsia="Times New Roman"/>
                <w:sz w:val="18"/>
                <w:szCs w:val="18"/>
                <w:lang w:eastAsia="pt-BR"/>
              </w:rPr>
              <w:t>ha</w:t>
            </w:r>
            <w:r w:rsidRPr="00B21ADB">
              <w:rPr>
                <w:rFonts w:eastAsia="Times New Roman"/>
                <w:sz w:val="18"/>
                <w:szCs w:val="18"/>
                <w:vertAlign w:val="superscript"/>
                <w:lang w:eastAsia="pt-BR"/>
              </w:rPr>
              <w:t>-1</w:t>
            </w:r>
            <w:r w:rsidR="00EC7ACA" w:rsidRPr="005237DE">
              <w:rPr>
                <w:rFonts w:eastAsia="Times New Roman"/>
                <w:sz w:val="18"/>
                <w:szCs w:val="18"/>
                <w:lang w:eastAsia="pt-BR"/>
              </w:rPr>
              <w:t>)</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130</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97</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81</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71</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71</w:t>
            </w:r>
          </w:p>
        </w:tc>
      </w:tr>
      <w:tr w:rsidR="00EC7ACA" w:rsidRPr="005237DE" w:rsidTr="00B21ADB">
        <w:trPr>
          <w:trHeight w:val="20"/>
        </w:trPr>
        <w:tc>
          <w:tcPr>
            <w:tcW w:w="1053"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Estimativa Toneladas</w:t>
            </w:r>
          </w:p>
        </w:tc>
        <w:tc>
          <w:tcPr>
            <w:tcW w:w="624"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98"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13.000</w:t>
            </w:r>
          </w:p>
        </w:tc>
        <w:tc>
          <w:tcPr>
            <w:tcW w:w="622"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9.700</w:t>
            </w:r>
          </w:p>
        </w:tc>
        <w:tc>
          <w:tcPr>
            <w:tcW w:w="698"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8.100</w:t>
            </w:r>
          </w:p>
        </w:tc>
        <w:tc>
          <w:tcPr>
            <w:tcW w:w="582"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7.100</w:t>
            </w:r>
          </w:p>
        </w:tc>
        <w:tc>
          <w:tcPr>
            <w:tcW w:w="623"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7.100</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 xml:space="preserve">Taxa Mínima </w:t>
            </w:r>
            <w:proofErr w:type="spellStart"/>
            <w:r w:rsidRPr="005237DE">
              <w:rPr>
                <w:rFonts w:eastAsia="Times New Roman"/>
                <w:sz w:val="18"/>
                <w:szCs w:val="18"/>
                <w:lang w:eastAsia="pt-BR"/>
              </w:rPr>
              <w:t>Atrat</w:t>
            </w:r>
            <w:proofErr w:type="spellEnd"/>
            <w:r w:rsidRPr="005237DE">
              <w:rPr>
                <w:rFonts w:eastAsia="Times New Roman"/>
                <w:sz w:val="18"/>
                <w:szCs w:val="18"/>
                <w:lang w:eastAsia="pt-BR"/>
              </w:rPr>
              <w:t>.</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3,5%</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Taxa Imp. Renda</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98" w:type="pct"/>
            <w:tcBorders>
              <w:top w:val="nil"/>
              <w:left w:val="nil"/>
              <w:bottom w:val="nil"/>
              <w:right w:val="nil"/>
            </w:tcBorders>
            <w:shd w:val="clear" w:color="000000" w:fill="FFFFFF"/>
            <w:noWrap/>
            <w:vAlign w:val="bottom"/>
            <w:hideMark/>
          </w:tcPr>
          <w:p w:rsidR="00EC7ACA" w:rsidRPr="005237DE" w:rsidRDefault="00B21ADB" w:rsidP="00652759">
            <w:pPr>
              <w:spacing w:line="240" w:lineRule="auto"/>
              <w:jc w:val="center"/>
              <w:rPr>
                <w:rFonts w:eastAsia="Times New Roman"/>
                <w:sz w:val="18"/>
                <w:szCs w:val="18"/>
                <w:lang w:eastAsia="pt-BR"/>
              </w:rPr>
            </w:pPr>
            <w:r>
              <w:rPr>
                <w:rFonts w:eastAsia="Times New Roman"/>
                <w:sz w:val="18"/>
                <w:szCs w:val="18"/>
                <w:lang w:eastAsia="pt-BR"/>
              </w:rPr>
              <w:t xml:space="preserve"> CCT (R$ </w:t>
            </w:r>
            <w:r w:rsidR="00EC7ACA" w:rsidRPr="005237DE">
              <w:rPr>
                <w:rFonts w:eastAsia="Times New Roman"/>
                <w:sz w:val="18"/>
                <w:szCs w:val="18"/>
                <w:lang w:eastAsia="pt-BR"/>
              </w:rPr>
              <w:t>t</w:t>
            </w:r>
            <w:r w:rsidRPr="00B21ADB">
              <w:rPr>
                <w:rFonts w:eastAsia="Times New Roman"/>
                <w:sz w:val="18"/>
                <w:szCs w:val="18"/>
                <w:vertAlign w:val="superscript"/>
                <w:lang w:eastAsia="pt-BR"/>
              </w:rPr>
              <w:t>-1</w:t>
            </w:r>
            <w:r w:rsidR="00EC7ACA" w:rsidRPr="005237DE">
              <w:rPr>
                <w:rFonts w:eastAsia="Times New Roman"/>
                <w:sz w:val="18"/>
                <w:szCs w:val="18"/>
                <w:lang w:eastAsia="pt-BR"/>
              </w:rPr>
              <w:t>)</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25,71</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 xml:space="preserve">Taxa </w:t>
            </w:r>
            <w:proofErr w:type="spellStart"/>
            <w:r w:rsidRPr="005237DE">
              <w:rPr>
                <w:rFonts w:eastAsia="Times New Roman"/>
                <w:sz w:val="18"/>
                <w:szCs w:val="18"/>
                <w:lang w:eastAsia="pt-BR"/>
              </w:rPr>
              <w:t>FunRural</w:t>
            </w:r>
            <w:proofErr w:type="spellEnd"/>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2,3%</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98" w:type="pct"/>
            <w:tcBorders>
              <w:top w:val="nil"/>
              <w:left w:val="nil"/>
              <w:bottom w:val="nil"/>
              <w:right w:val="nil"/>
            </w:tcBorders>
            <w:shd w:val="clear" w:color="000000" w:fill="FFFFFF"/>
            <w:noWrap/>
            <w:vAlign w:val="bottom"/>
            <w:hideMark/>
          </w:tcPr>
          <w:p w:rsidR="00EC7ACA" w:rsidRPr="005237DE" w:rsidRDefault="00EC7ACA" w:rsidP="00B21ADB">
            <w:pPr>
              <w:spacing w:line="240" w:lineRule="auto"/>
              <w:jc w:val="center"/>
              <w:rPr>
                <w:rFonts w:eastAsia="Times New Roman"/>
                <w:sz w:val="18"/>
                <w:szCs w:val="18"/>
                <w:lang w:eastAsia="pt-BR"/>
              </w:rPr>
            </w:pPr>
            <w:r w:rsidRPr="005237DE">
              <w:rPr>
                <w:rFonts w:eastAsia="Times New Roman"/>
                <w:sz w:val="18"/>
                <w:szCs w:val="18"/>
                <w:lang w:eastAsia="pt-BR"/>
              </w:rPr>
              <w:t>Soca (R$</w:t>
            </w:r>
            <w:r w:rsidR="00B21ADB">
              <w:rPr>
                <w:rFonts w:eastAsia="Times New Roman"/>
                <w:sz w:val="18"/>
                <w:szCs w:val="18"/>
                <w:lang w:eastAsia="pt-BR"/>
              </w:rPr>
              <w:t xml:space="preserve"> </w:t>
            </w:r>
            <w:r w:rsidRPr="005237DE">
              <w:rPr>
                <w:rFonts w:eastAsia="Times New Roman"/>
                <w:sz w:val="18"/>
                <w:szCs w:val="18"/>
                <w:lang w:eastAsia="pt-BR"/>
              </w:rPr>
              <w:t>ha</w:t>
            </w:r>
            <w:r w:rsidR="00B21ADB" w:rsidRPr="00B21ADB">
              <w:rPr>
                <w:rFonts w:eastAsia="Times New Roman"/>
                <w:sz w:val="18"/>
                <w:szCs w:val="18"/>
                <w:vertAlign w:val="superscript"/>
                <w:lang w:eastAsia="pt-BR"/>
              </w:rPr>
              <w:t>-1</w:t>
            </w:r>
            <w:r w:rsidRPr="005237DE">
              <w:rPr>
                <w:rFonts w:eastAsia="Times New Roman"/>
                <w:sz w:val="18"/>
                <w:szCs w:val="18"/>
                <w:lang w:eastAsia="pt-BR"/>
              </w:rPr>
              <w:t>)</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971,67</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B21ADB">
        <w:trPr>
          <w:trHeight w:val="20"/>
        </w:trPr>
        <w:tc>
          <w:tcPr>
            <w:tcW w:w="1053" w:type="pct"/>
            <w:tcBorders>
              <w:top w:val="nil"/>
              <w:left w:val="nil"/>
              <w:bottom w:val="single" w:sz="8" w:space="0" w:color="auto"/>
              <w:right w:val="nil"/>
            </w:tcBorders>
            <w:shd w:val="clear" w:color="000000" w:fill="FFFFFF"/>
            <w:noWrap/>
            <w:vAlign w:val="bottom"/>
            <w:hideMark/>
          </w:tcPr>
          <w:p w:rsidR="00EC7ACA" w:rsidRPr="005237DE" w:rsidRDefault="00B21ADB" w:rsidP="00B21ADB">
            <w:pPr>
              <w:spacing w:line="240" w:lineRule="auto"/>
              <w:jc w:val="left"/>
              <w:rPr>
                <w:rFonts w:eastAsia="Times New Roman"/>
                <w:sz w:val="18"/>
                <w:szCs w:val="18"/>
                <w:lang w:eastAsia="pt-BR"/>
              </w:rPr>
            </w:pPr>
            <w:r>
              <w:rPr>
                <w:rFonts w:eastAsia="Times New Roman"/>
                <w:sz w:val="18"/>
                <w:szCs w:val="18"/>
                <w:lang w:eastAsia="pt-BR"/>
              </w:rPr>
              <w:t>ATR (kg t</w:t>
            </w:r>
            <w:r w:rsidRPr="00B21ADB">
              <w:rPr>
                <w:rFonts w:eastAsia="Times New Roman"/>
                <w:sz w:val="18"/>
                <w:szCs w:val="18"/>
                <w:vertAlign w:val="superscript"/>
                <w:lang w:eastAsia="pt-BR"/>
              </w:rPr>
              <w:t>-1</w:t>
            </w:r>
            <w:r w:rsidR="00EC7ACA" w:rsidRPr="005237DE">
              <w:rPr>
                <w:rFonts w:eastAsia="Times New Roman"/>
                <w:sz w:val="18"/>
                <w:szCs w:val="18"/>
                <w:lang w:eastAsia="pt-BR"/>
              </w:rPr>
              <w:t>)</w:t>
            </w:r>
          </w:p>
        </w:tc>
        <w:tc>
          <w:tcPr>
            <w:tcW w:w="624"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130,06</w:t>
            </w:r>
          </w:p>
        </w:tc>
        <w:tc>
          <w:tcPr>
            <w:tcW w:w="798" w:type="pct"/>
            <w:tcBorders>
              <w:top w:val="nil"/>
              <w:left w:val="nil"/>
              <w:bottom w:val="single" w:sz="8" w:space="0" w:color="auto"/>
              <w:right w:val="nil"/>
            </w:tcBorders>
            <w:shd w:val="clear" w:color="000000" w:fill="FFFFFF"/>
            <w:noWrap/>
            <w:vAlign w:val="bottom"/>
            <w:hideMark/>
          </w:tcPr>
          <w:p w:rsidR="00EC7ACA" w:rsidRPr="005237DE" w:rsidRDefault="00B21ADB" w:rsidP="00652759">
            <w:pPr>
              <w:spacing w:line="240" w:lineRule="auto"/>
              <w:jc w:val="center"/>
              <w:rPr>
                <w:rFonts w:eastAsia="Times New Roman"/>
                <w:sz w:val="18"/>
                <w:szCs w:val="18"/>
                <w:lang w:eastAsia="pt-BR"/>
              </w:rPr>
            </w:pPr>
            <w:r>
              <w:rPr>
                <w:rFonts w:eastAsia="Times New Roman"/>
                <w:sz w:val="18"/>
                <w:szCs w:val="18"/>
                <w:lang w:eastAsia="pt-BR"/>
              </w:rPr>
              <w:t>ATR (R$ k</w:t>
            </w:r>
            <w:r w:rsidR="00EC7ACA" w:rsidRPr="005237DE">
              <w:rPr>
                <w:rFonts w:eastAsia="Times New Roman"/>
                <w:sz w:val="18"/>
                <w:szCs w:val="18"/>
                <w:lang w:eastAsia="pt-BR"/>
              </w:rPr>
              <w:t>g</w:t>
            </w:r>
            <w:r w:rsidRPr="00B21ADB">
              <w:rPr>
                <w:rFonts w:eastAsia="Times New Roman"/>
                <w:sz w:val="18"/>
                <w:szCs w:val="18"/>
                <w:vertAlign w:val="superscript"/>
                <w:lang w:eastAsia="pt-BR"/>
              </w:rPr>
              <w:t>-1</w:t>
            </w:r>
            <w:r w:rsidR="00EC7ACA" w:rsidRPr="005237DE">
              <w:rPr>
                <w:rFonts w:eastAsia="Times New Roman"/>
                <w:sz w:val="18"/>
                <w:szCs w:val="18"/>
                <w:lang w:eastAsia="pt-BR"/>
              </w:rPr>
              <w:t>)</w:t>
            </w:r>
          </w:p>
        </w:tc>
        <w:tc>
          <w:tcPr>
            <w:tcW w:w="622"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R$ 0,4763</w:t>
            </w:r>
          </w:p>
        </w:tc>
        <w:tc>
          <w:tcPr>
            <w:tcW w:w="698"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roofErr w:type="spellStart"/>
            <w:r w:rsidRPr="005237DE">
              <w:rPr>
                <w:rFonts w:eastAsia="Times New Roman"/>
                <w:sz w:val="18"/>
                <w:szCs w:val="18"/>
                <w:lang w:eastAsia="pt-BR"/>
              </w:rPr>
              <w:t>Vl</w:t>
            </w:r>
            <w:proofErr w:type="spellEnd"/>
            <w:r w:rsidRPr="005237DE">
              <w:rPr>
                <w:rFonts w:eastAsia="Times New Roman"/>
                <w:sz w:val="18"/>
                <w:szCs w:val="18"/>
                <w:lang w:eastAsia="pt-BR"/>
              </w:rPr>
              <w:t xml:space="preserve"> </w:t>
            </w:r>
            <w:proofErr w:type="spellStart"/>
            <w:r w:rsidRPr="005237DE">
              <w:rPr>
                <w:rFonts w:eastAsia="Times New Roman"/>
                <w:sz w:val="18"/>
                <w:szCs w:val="18"/>
                <w:lang w:eastAsia="pt-BR"/>
              </w:rPr>
              <w:t>Ton</w:t>
            </w:r>
            <w:proofErr w:type="spellEnd"/>
            <w:r w:rsidRPr="005237DE">
              <w:rPr>
                <w:rFonts w:eastAsia="Times New Roman"/>
                <w:sz w:val="18"/>
                <w:szCs w:val="18"/>
                <w:lang w:eastAsia="pt-BR"/>
              </w:rPr>
              <w:t>(R$)</w:t>
            </w:r>
          </w:p>
        </w:tc>
        <w:tc>
          <w:tcPr>
            <w:tcW w:w="582"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R$ 61,95</w:t>
            </w:r>
          </w:p>
        </w:tc>
        <w:tc>
          <w:tcPr>
            <w:tcW w:w="623"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RECEITAS</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3</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4</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5</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 xml:space="preserve">Venda cana </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805.319</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600.892</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501.775</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439.828</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439.828</w:t>
            </w:r>
          </w:p>
        </w:tc>
      </w:tr>
      <w:tr w:rsidR="00EC7ACA" w:rsidRPr="005237DE" w:rsidTr="00B21ADB">
        <w:trPr>
          <w:trHeight w:val="20"/>
        </w:trPr>
        <w:tc>
          <w:tcPr>
            <w:tcW w:w="10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RECEITA TOTAL</w:t>
            </w:r>
          </w:p>
        </w:tc>
        <w:tc>
          <w:tcPr>
            <w:tcW w:w="624"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0</w:t>
            </w:r>
          </w:p>
        </w:tc>
        <w:tc>
          <w:tcPr>
            <w:tcW w:w="7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805.319</w:t>
            </w:r>
          </w:p>
        </w:tc>
        <w:tc>
          <w:tcPr>
            <w:tcW w:w="62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600.892</w:t>
            </w:r>
          </w:p>
        </w:tc>
        <w:tc>
          <w:tcPr>
            <w:tcW w:w="6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501.775</w:t>
            </w:r>
          </w:p>
        </w:tc>
        <w:tc>
          <w:tcPr>
            <w:tcW w:w="58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439.828</w:t>
            </w:r>
          </w:p>
        </w:tc>
        <w:tc>
          <w:tcPr>
            <w:tcW w:w="62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439.828</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DESPESAS</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Custo Plantio</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509.495</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Custos CCT</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334.230</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249.387</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208.251</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182.541</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182.541</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Custo Tratos Soca</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97.167</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97.167</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97.167</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97.167</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proofErr w:type="spellStart"/>
            <w:r w:rsidRPr="005237DE">
              <w:rPr>
                <w:rFonts w:eastAsia="Times New Roman"/>
                <w:sz w:val="18"/>
                <w:szCs w:val="18"/>
                <w:lang w:eastAsia="pt-BR"/>
              </w:rPr>
              <w:t>Funrural</w:t>
            </w:r>
            <w:proofErr w:type="spellEnd"/>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18.522</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13.821</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11.541</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10.116</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10.116</w:t>
            </w:r>
          </w:p>
        </w:tc>
      </w:tr>
      <w:tr w:rsidR="00EC7ACA" w:rsidRPr="005237DE" w:rsidTr="00B21ADB">
        <w:trPr>
          <w:trHeight w:val="20"/>
        </w:trPr>
        <w:tc>
          <w:tcPr>
            <w:tcW w:w="10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DESPESA TOTAL</w:t>
            </w:r>
          </w:p>
        </w:tc>
        <w:tc>
          <w:tcPr>
            <w:tcW w:w="624"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509.495</w:t>
            </w:r>
          </w:p>
        </w:tc>
        <w:tc>
          <w:tcPr>
            <w:tcW w:w="7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449.919</w:t>
            </w:r>
          </w:p>
        </w:tc>
        <w:tc>
          <w:tcPr>
            <w:tcW w:w="62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360.375</w:t>
            </w:r>
          </w:p>
        </w:tc>
        <w:tc>
          <w:tcPr>
            <w:tcW w:w="6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316.959</w:t>
            </w:r>
          </w:p>
        </w:tc>
        <w:tc>
          <w:tcPr>
            <w:tcW w:w="58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289.824</w:t>
            </w:r>
          </w:p>
        </w:tc>
        <w:tc>
          <w:tcPr>
            <w:tcW w:w="62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192.657</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Lucro antes IR</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-509.495</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355.399</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240.517</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184.817</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150.004</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247.171</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Imposto de Renda</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161.064</w:t>
            </w: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120.178</w:t>
            </w: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100.355</w:t>
            </w: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87.966</w:t>
            </w: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87.966</w:t>
            </w:r>
          </w:p>
        </w:tc>
      </w:tr>
      <w:tr w:rsidR="00EC7ACA" w:rsidRPr="005237DE" w:rsidTr="00B21ADB">
        <w:trPr>
          <w:trHeight w:val="20"/>
        </w:trPr>
        <w:tc>
          <w:tcPr>
            <w:tcW w:w="10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Investimento (Terra)</w:t>
            </w:r>
          </w:p>
        </w:tc>
        <w:tc>
          <w:tcPr>
            <w:tcW w:w="624"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-2.310.741</w:t>
            </w:r>
          </w:p>
        </w:tc>
        <w:tc>
          <w:tcPr>
            <w:tcW w:w="7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2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98"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58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2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2.310.741</w:t>
            </w:r>
          </w:p>
        </w:tc>
      </w:tr>
      <w:tr w:rsidR="00EC7ACA" w:rsidRPr="005237DE" w:rsidTr="00B21ADB">
        <w:trPr>
          <w:trHeight w:val="20"/>
        </w:trPr>
        <w:tc>
          <w:tcPr>
            <w:tcW w:w="10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F.C. LIQUIDO</w:t>
            </w:r>
          </w:p>
        </w:tc>
        <w:tc>
          <w:tcPr>
            <w:tcW w:w="624"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-2.820.236</w:t>
            </w:r>
          </w:p>
        </w:tc>
        <w:tc>
          <w:tcPr>
            <w:tcW w:w="7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194.335</w:t>
            </w:r>
          </w:p>
        </w:tc>
        <w:tc>
          <w:tcPr>
            <w:tcW w:w="62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120.339</w:t>
            </w:r>
          </w:p>
        </w:tc>
        <w:tc>
          <w:tcPr>
            <w:tcW w:w="6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84.461</w:t>
            </w:r>
          </w:p>
        </w:tc>
        <w:tc>
          <w:tcPr>
            <w:tcW w:w="58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62.038</w:t>
            </w:r>
          </w:p>
        </w:tc>
        <w:tc>
          <w:tcPr>
            <w:tcW w:w="62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2.469.946</w:t>
            </w:r>
          </w:p>
        </w:tc>
      </w:tr>
      <w:tr w:rsidR="00EC7ACA" w:rsidRPr="005237DE" w:rsidTr="00B21ADB">
        <w:trPr>
          <w:trHeight w:val="20"/>
        </w:trPr>
        <w:tc>
          <w:tcPr>
            <w:tcW w:w="10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F.C. ACUMUL.</w:t>
            </w:r>
          </w:p>
        </w:tc>
        <w:tc>
          <w:tcPr>
            <w:tcW w:w="624"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-2.820.236</w:t>
            </w:r>
          </w:p>
        </w:tc>
        <w:tc>
          <w:tcPr>
            <w:tcW w:w="7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-2.625.901</w:t>
            </w:r>
          </w:p>
        </w:tc>
        <w:tc>
          <w:tcPr>
            <w:tcW w:w="62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-2.505.562</w:t>
            </w:r>
          </w:p>
        </w:tc>
        <w:tc>
          <w:tcPr>
            <w:tcW w:w="698"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-2.421.100</w:t>
            </w:r>
          </w:p>
        </w:tc>
        <w:tc>
          <w:tcPr>
            <w:tcW w:w="58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-2.359.062</w:t>
            </w:r>
          </w:p>
        </w:tc>
        <w:tc>
          <w:tcPr>
            <w:tcW w:w="62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110.884</w:t>
            </w:r>
          </w:p>
        </w:tc>
      </w:tr>
    </w:tbl>
    <w:p w:rsidR="00EC7ACA" w:rsidRDefault="00EC7ACA" w:rsidP="000D626B">
      <w:pPr>
        <w:spacing w:line="360" w:lineRule="auto"/>
      </w:pPr>
    </w:p>
    <w:p w:rsidR="00EC7ACA" w:rsidRDefault="00EC7ACA" w:rsidP="000D626B">
      <w:pPr>
        <w:spacing w:line="360" w:lineRule="auto"/>
      </w:pPr>
    </w:p>
    <w:p w:rsidR="00EC7ACA" w:rsidRPr="005237DE" w:rsidRDefault="00EC7ACA" w:rsidP="00F44510">
      <w:pPr>
        <w:spacing w:line="240" w:lineRule="auto"/>
      </w:pPr>
      <w:r w:rsidRPr="00A543B9">
        <w:lastRenderedPageBreak/>
        <w:t xml:space="preserve">Tabela 5. </w:t>
      </w:r>
      <w:r w:rsidR="00A543B9" w:rsidRPr="00A543B9">
        <w:t>Fluxo de caixa para o sistema de arrendamento para a produção de cana-de-açúcar na região sudoeste do estado de São Paulo durante a safra de 2014/2015</w:t>
      </w:r>
      <w:r w:rsidR="00A543B9">
        <w:t xml:space="preserve"> – Cenário atual</w:t>
      </w:r>
    </w:p>
    <w:tbl>
      <w:tblPr>
        <w:tblW w:w="5000" w:type="pct"/>
        <w:tblCellMar>
          <w:left w:w="70" w:type="dxa"/>
          <w:right w:w="70" w:type="dxa"/>
        </w:tblCellMar>
        <w:tblLook w:val="04A0" w:firstRow="1" w:lastRow="0" w:firstColumn="1" w:lastColumn="0" w:noHBand="0" w:noVBand="1"/>
      </w:tblPr>
      <w:tblGrid>
        <w:gridCol w:w="1959"/>
        <w:gridCol w:w="1109"/>
        <w:gridCol w:w="1299"/>
        <w:gridCol w:w="1023"/>
        <w:gridCol w:w="1308"/>
        <w:gridCol w:w="1004"/>
        <w:gridCol w:w="942"/>
      </w:tblGrid>
      <w:tr w:rsidR="00EC7ACA" w:rsidRPr="005237DE" w:rsidTr="00EC7ACA">
        <w:trPr>
          <w:trHeight w:val="20"/>
        </w:trPr>
        <w:tc>
          <w:tcPr>
            <w:tcW w:w="114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 </w:t>
            </w:r>
            <w:r w:rsidR="00A543B9">
              <w:rPr>
                <w:rFonts w:eastAsia="Times New Roman"/>
                <w:bCs/>
                <w:sz w:val="18"/>
                <w:szCs w:val="18"/>
                <w:lang w:eastAsia="pt-BR"/>
              </w:rPr>
              <w:t>Ano</w:t>
            </w:r>
          </w:p>
        </w:tc>
        <w:tc>
          <w:tcPr>
            <w:tcW w:w="65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0</w:t>
            </w:r>
          </w:p>
        </w:tc>
        <w:tc>
          <w:tcPr>
            <w:tcW w:w="76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w:t>
            </w:r>
          </w:p>
        </w:tc>
        <w:tc>
          <w:tcPr>
            <w:tcW w:w="60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w:t>
            </w:r>
          </w:p>
        </w:tc>
        <w:tc>
          <w:tcPr>
            <w:tcW w:w="706"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3</w:t>
            </w:r>
          </w:p>
        </w:tc>
        <w:tc>
          <w:tcPr>
            <w:tcW w:w="589"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4</w:t>
            </w:r>
          </w:p>
        </w:tc>
        <w:tc>
          <w:tcPr>
            <w:tcW w:w="5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5</w:t>
            </w:r>
          </w:p>
        </w:tc>
      </w:tr>
      <w:tr w:rsidR="00EC7ACA" w:rsidRPr="005237DE" w:rsidTr="00EC7ACA">
        <w:trPr>
          <w:trHeight w:val="20"/>
        </w:trPr>
        <w:tc>
          <w:tcPr>
            <w:tcW w:w="1142" w:type="pct"/>
            <w:tcBorders>
              <w:top w:val="single" w:sz="8" w:space="0" w:color="auto"/>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Área Plantio (</w:t>
            </w:r>
            <w:r w:rsidR="00B21ADB">
              <w:rPr>
                <w:rFonts w:eastAsia="Times New Roman"/>
                <w:sz w:val="18"/>
                <w:szCs w:val="18"/>
                <w:lang w:eastAsia="pt-BR"/>
              </w:rPr>
              <w:t>ha</w:t>
            </w:r>
            <w:r w:rsidRPr="005237DE">
              <w:rPr>
                <w:rFonts w:eastAsia="Times New Roman"/>
                <w:sz w:val="18"/>
                <w:szCs w:val="18"/>
                <w:lang w:eastAsia="pt-BR"/>
              </w:rPr>
              <w:t>)</w:t>
            </w:r>
          </w:p>
        </w:tc>
        <w:tc>
          <w:tcPr>
            <w:tcW w:w="650" w:type="pct"/>
            <w:tcBorders>
              <w:top w:val="single" w:sz="8"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single" w:sz="8"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00" w:type="pct"/>
            <w:tcBorders>
              <w:top w:val="single" w:sz="8"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06" w:type="pct"/>
            <w:tcBorders>
              <w:top w:val="single" w:sz="8"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89" w:type="pct"/>
            <w:tcBorders>
              <w:top w:val="single" w:sz="8"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53" w:type="pct"/>
            <w:tcBorders>
              <w:top w:val="single" w:sz="8"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r>
      <w:tr w:rsidR="00EC7ACA" w:rsidRPr="005237DE" w:rsidTr="00EC7ACA">
        <w:trPr>
          <w:trHeight w:val="20"/>
        </w:trPr>
        <w:tc>
          <w:tcPr>
            <w:tcW w:w="1142" w:type="pct"/>
            <w:tcBorders>
              <w:top w:val="nil"/>
              <w:left w:val="nil"/>
              <w:bottom w:val="single" w:sz="4" w:space="0" w:color="auto"/>
              <w:right w:val="nil"/>
            </w:tcBorders>
            <w:shd w:val="clear" w:color="000000" w:fill="FFFFFF"/>
            <w:noWrap/>
            <w:vAlign w:val="bottom"/>
            <w:hideMark/>
          </w:tcPr>
          <w:p w:rsidR="00EC7ACA" w:rsidRPr="005237DE" w:rsidRDefault="00EC7ACA" w:rsidP="00B21ADB">
            <w:pPr>
              <w:spacing w:line="240" w:lineRule="auto"/>
              <w:jc w:val="left"/>
              <w:rPr>
                <w:rFonts w:eastAsia="Times New Roman"/>
                <w:sz w:val="18"/>
                <w:szCs w:val="18"/>
                <w:lang w:eastAsia="pt-BR"/>
              </w:rPr>
            </w:pPr>
            <w:r w:rsidRPr="005237DE">
              <w:rPr>
                <w:rFonts w:eastAsia="Times New Roman"/>
                <w:sz w:val="18"/>
                <w:szCs w:val="18"/>
                <w:lang w:eastAsia="pt-BR"/>
              </w:rPr>
              <w:t>Área Colheita (</w:t>
            </w:r>
            <w:r w:rsidR="00A543B9">
              <w:rPr>
                <w:rFonts w:eastAsia="Times New Roman"/>
                <w:sz w:val="18"/>
                <w:szCs w:val="18"/>
                <w:lang w:eastAsia="pt-BR"/>
              </w:rPr>
              <w:t>h</w:t>
            </w:r>
            <w:r w:rsidR="00B21ADB">
              <w:rPr>
                <w:rFonts w:eastAsia="Times New Roman"/>
                <w:sz w:val="18"/>
                <w:szCs w:val="18"/>
                <w:lang w:eastAsia="pt-BR"/>
              </w:rPr>
              <w:t>a</w:t>
            </w:r>
            <w:r w:rsidRPr="005237DE">
              <w:rPr>
                <w:rFonts w:eastAsia="Times New Roman"/>
                <w:sz w:val="18"/>
                <w:szCs w:val="18"/>
                <w:lang w:eastAsia="pt-BR"/>
              </w:rPr>
              <w:t>)</w:t>
            </w:r>
          </w:p>
        </w:tc>
        <w:tc>
          <w:tcPr>
            <w:tcW w:w="650" w:type="pct"/>
            <w:tcBorders>
              <w:top w:val="nil"/>
              <w:left w:val="nil"/>
              <w:bottom w:val="single" w:sz="4"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nil"/>
              <w:left w:val="nil"/>
              <w:bottom w:val="single" w:sz="4"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600" w:type="pct"/>
            <w:tcBorders>
              <w:top w:val="nil"/>
              <w:left w:val="nil"/>
              <w:bottom w:val="single" w:sz="4"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706" w:type="pct"/>
            <w:tcBorders>
              <w:top w:val="nil"/>
              <w:left w:val="nil"/>
              <w:bottom w:val="single" w:sz="4"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589" w:type="pct"/>
            <w:tcBorders>
              <w:top w:val="nil"/>
              <w:left w:val="nil"/>
              <w:bottom w:val="single" w:sz="4"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c>
          <w:tcPr>
            <w:tcW w:w="553" w:type="pct"/>
            <w:tcBorders>
              <w:top w:val="nil"/>
              <w:left w:val="nil"/>
              <w:bottom w:val="single" w:sz="4"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100</w:t>
            </w:r>
          </w:p>
        </w:tc>
      </w:tr>
      <w:tr w:rsidR="00EC7ACA" w:rsidRPr="005237DE" w:rsidTr="00EC7ACA">
        <w:trPr>
          <w:trHeight w:val="20"/>
        </w:trPr>
        <w:tc>
          <w:tcPr>
            <w:tcW w:w="1142" w:type="pct"/>
            <w:tcBorders>
              <w:top w:val="single" w:sz="4" w:space="0" w:color="auto"/>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 xml:space="preserve">Taxa Mínima </w:t>
            </w:r>
            <w:proofErr w:type="spellStart"/>
            <w:r w:rsidRPr="005237DE">
              <w:rPr>
                <w:rFonts w:eastAsia="Times New Roman"/>
                <w:sz w:val="18"/>
                <w:szCs w:val="18"/>
                <w:lang w:eastAsia="pt-BR"/>
              </w:rPr>
              <w:t>Atrat</w:t>
            </w:r>
            <w:proofErr w:type="spellEnd"/>
            <w:r w:rsidRPr="005237DE">
              <w:rPr>
                <w:rFonts w:eastAsia="Times New Roman"/>
                <w:sz w:val="18"/>
                <w:szCs w:val="18"/>
                <w:lang w:eastAsia="pt-BR"/>
              </w:rPr>
              <w:t>.</w:t>
            </w:r>
          </w:p>
        </w:tc>
        <w:tc>
          <w:tcPr>
            <w:tcW w:w="650" w:type="pct"/>
            <w:tcBorders>
              <w:top w:val="single" w:sz="4"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3,5%</w:t>
            </w:r>
          </w:p>
        </w:tc>
        <w:tc>
          <w:tcPr>
            <w:tcW w:w="760" w:type="pct"/>
            <w:tcBorders>
              <w:top w:val="single" w:sz="4"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00" w:type="pct"/>
            <w:tcBorders>
              <w:top w:val="single" w:sz="4"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706" w:type="pct"/>
            <w:tcBorders>
              <w:top w:val="single" w:sz="4" w:space="0" w:color="auto"/>
              <w:left w:val="nil"/>
              <w:bottom w:val="nil"/>
              <w:right w:val="nil"/>
            </w:tcBorders>
            <w:shd w:val="clear" w:color="000000" w:fill="FFFFFF"/>
            <w:noWrap/>
            <w:vAlign w:val="bottom"/>
            <w:hideMark/>
          </w:tcPr>
          <w:p w:rsidR="00EC7ACA" w:rsidRPr="005237DE" w:rsidRDefault="00B21ADB" w:rsidP="00B21ADB">
            <w:pPr>
              <w:spacing w:line="240" w:lineRule="auto"/>
              <w:jc w:val="center"/>
              <w:rPr>
                <w:rFonts w:eastAsia="Times New Roman"/>
                <w:sz w:val="18"/>
                <w:szCs w:val="18"/>
                <w:lang w:eastAsia="pt-BR"/>
              </w:rPr>
            </w:pPr>
            <w:proofErr w:type="spellStart"/>
            <w:r>
              <w:rPr>
                <w:rFonts w:eastAsia="Times New Roman"/>
                <w:sz w:val="18"/>
                <w:szCs w:val="18"/>
                <w:lang w:eastAsia="pt-BR"/>
              </w:rPr>
              <w:t>Arrend</w:t>
            </w:r>
            <w:proofErr w:type="spellEnd"/>
            <w:r>
              <w:rPr>
                <w:rFonts w:eastAsia="Times New Roman"/>
                <w:sz w:val="18"/>
                <w:szCs w:val="18"/>
                <w:lang w:eastAsia="pt-BR"/>
              </w:rPr>
              <w:t xml:space="preserve"> (t </w:t>
            </w:r>
            <w:r w:rsidR="00A543B9">
              <w:rPr>
                <w:rFonts w:eastAsia="Times New Roman"/>
                <w:sz w:val="18"/>
                <w:szCs w:val="18"/>
                <w:lang w:eastAsia="pt-BR"/>
              </w:rPr>
              <w:t>h</w:t>
            </w:r>
            <w:r>
              <w:rPr>
                <w:rFonts w:eastAsia="Times New Roman"/>
                <w:sz w:val="18"/>
                <w:szCs w:val="18"/>
                <w:lang w:eastAsia="pt-BR"/>
              </w:rPr>
              <w:t>a</w:t>
            </w:r>
            <w:r w:rsidRPr="00B21ADB">
              <w:rPr>
                <w:rFonts w:eastAsia="Times New Roman"/>
                <w:sz w:val="18"/>
                <w:szCs w:val="18"/>
                <w:vertAlign w:val="superscript"/>
                <w:lang w:eastAsia="pt-BR"/>
              </w:rPr>
              <w:t>-1</w:t>
            </w:r>
            <w:r w:rsidR="00EC7ACA" w:rsidRPr="005237DE">
              <w:rPr>
                <w:rFonts w:eastAsia="Times New Roman"/>
                <w:sz w:val="18"/>
                <w:szCs w:val="18"/>
                <w:lang w:eastAsia="pt-BR"/>
              </w:rPr>
              <w:t>)</w:t>
            </w:r>
          </w:p>
        </w:tc>
        <w:tc>
          <w:tcPr>
            <w:tcW w:w="589" w:type="pct"/>
            <w:tcBorders>
              <w:top w:val="single" w:sz="4"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15,70</w:t>
            </w:r>
          </w:p>
        </w:tc>
        <w:tc>
          <w:tcPr>
            <w:tcW w:w="553" w:type="pct"/>
            <w:tcBorders>
              <w:top w:val="single" w:sz="4" w:space="0" w:color="auto"/>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Taxa Imp. Renda</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706" w:type="pct"/>
            <w:tcBorders>
              <w:top w:val="nil"/>
              <w:left w:val="nil"/>
              <w:bottom w:val="nil"/>
              <w:right w:val="nil"/>
            </w:tcBorders>
            <w:shd w:val="clear" w:color="000000" w:fill="FFFFFF"/>
            <w:noWrap/>
            <w:vAlign w:val="bottom"/>
            <w:hideMark/>
          </w:tcPr>
          <w:p w:rsidR="00EC7ACA" w:rsidRPr="005237DE" w:rsidRDefault="00B21ADB" w:rsidP="00652759">
            <w:pPr>
              <w:spacing w:line="240" w:lineRule="auto"/>
              <w:jc w:val="center"/>
              <w:rPr>
                <w:rFonts w:eastAsia="Times New Roman"/>
                <w:sz w:val="18"/>
                <w:szCs w:val="18"/>
                <w:lang w:eastAsia="pt-BR"/>
              </w:rPr>
            </w:pPr>
            <w:r>
              <w:rPr>
                <w:rFonts w:eastAsia="Times New Roman"/>
                <w:sz w:val="18"/>
                <w:szCs w:val="18"/>
                <w:lang w:eastAsia="pt-BR"/>
              </w:rPr>
              <w:t xml:space="preserve"> CCT (R$ </w:t>
            </w:r>
            <w:r w:rsidR="00EC7ACA" w:rsidRPr="005237DE">
              <w:rPr>
                <w:rFonts w:eastAsia="Times New Roman"/>
                <w:sz w:val="18"/>
                <w:szCs w:val="18"/>
                <w:lang w:eastAsia="pt-BR"/>
              </w:rPr>
              <w:t>t</w:t>
            </w:r>
            <w:r w:rsidRPr="00B21ADB">
              <w:rPr>
                <w:rFonts w:eastAsia="Times New Roman"/>
                <w:sz w:val="18"/>
                <w:szCs w:val="18"/>
                <w:vertAlign w:val="superscript"/>
                <w:lang w:eastAsia="pt-BR"/>
              </w:rPr>
              <w:t>-1</w:t>
            </w:r>
            <w:r w:rsidR="00EC7ACA" w:rsidRPr="005237DE">
              <w:rPr>
                <w:rFonts w:eastAsia="Times New Roman"/>
                <w:sz w:val="18"/>
                <w:szCs w:val="18"/>
                <w:lang w:eastAsia="pt-BR"/>
              </w:rPr>
              <w:t>)</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 xml:space="preserve">Taxa </w:t>
            </w:r>
            <w:proofErr w:type="spellStart"/>
            <w:r w:rsidRPr="005237DE">
              <w:rPr>
                <w:rFonts w:eastAsia="Times New Roman"/>
                <w:sz w:val="18"/>
                <w:szCs w:val="18"/>
                <w:lang w:eastAsia="pt-BR"/>
              </w:rPr>
              <w:t>FunRural</w:t>
            </w:r>
            <w:proofErr w:type="spellEnd"/>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2,3%</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706" w:type="pct"/>
            <w:tcBorders>
              <w:top w:val="nil"/>
              <w:left w:val="nil"/>
              <w:bottom w:val="nil"/>
              <w:right w:val="nil"/>
            </w:tcBorders>
            <w:shd w:val="clear" w:color="000000" w:fill="FFFFFF"/>
            <w:noWrap/>
            <w:vAlign w:val="bottom"/>
            <w:hideMark/>
          </w:tcPr>
          <w:p w:rsidR="00EC7ACA" w:rsidRPr="005237DE" w:rsidRDefault="00EC7ACA" w:rsidP="00B21ADB">
            <w:pPr>
              <w:spacing w:line="240" w:lineRule="auto"/>
              <w:jc w:val="center"/>
              <w:rPr>
                <w:rFonts w:eastAsia="Times New Roman"/>
                <w:sz w:val="18"/>
                <w:szCs w:val="18"/>
                <w:lang w:eastAsia="pt-BR"/>
              </w:rPr>
            </w:pPr>
            <w:r w:rsidRPr="005237DE">
              <w:rPr>
                <w:rFonts w:eastAsia="Times New Roman"/>
                <w:sz w:val="18"/>
                <w:szCs w:val="18"/>
                <w:lang w:eastAsia="pt-BR"/>
              </w:rPr>
              <w:t>Soca (R$</w:t>
            </w:r>
            <w:r w:rsidR="00B21ADB">
              <w:rPr>
                <w:rFonts w:eastAsia="Times New Roman"/>
                <w:sz w:val="18"/>
                <w:szCs w:val="18"/>
                <w:lang w:eastAsia="pt-BR"/>
              </w:rPr>
              <w:t xml:space="preserve"> </w:t>
            </w:r>
            <w:r w:rsidR="00A543B9">
              <w:rPr>
                <w:rFonts w:eastAsia="Times New Roman"/>
                <w:sz w:val="18"/>
                <w:szCs w:val="18"/>
                <w:lang w:eastAsia="pt-BR"/>
              </w:rPr>
              <w:t>h</w:t>
            </w:r>
            <w:r w:rsidR="00B21ADB">
              <w:rPr>
                <w:rFonts w:eastAsia="Times New Roman"/>
                <w:sz w:val="18"/>
                <w:szCs w:val="18"/>
                <w:lang w:eastAsia="pt-BR"/>
              </w:rPr>
              <w:t>a</w:t>
            </w:r>
            <w:r w:rsidR="00B21ADB" w:rsidRPr="00B21ADB">
              <w:rPr>
                <w:rFonts w:eastAsia="Times New Roman"/>
                <w:sz w:val="18"/>
                <w:szCs w:val="18"/>
                <w:vertAlign w:val="superscript"/>
                <w:lang w:eastAsia="pt-BR"/>
              </w:rPr>
              <w:t>-1</w:t>
            </w:r>
            <w:r w:rsidRPr="005237DE">
              <w:rPr>
                <w:rFonts w:eastAsia="Times New Roman"/>
                <w:sz w:val="18"/>
                <w:szCs w:val="18"/>
                <w:lang w:eastAsia="pt-BR"/>
              </w:rPr>
              <w:t>)</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EC7ACA">
        <w:trPr>
          <w:trHeight w:val="20"/>
        </w:trPr>
        <w:tc>
          <w:tcPr>
            <w:tcW w:w="1142" w:type="pct"/>
            <w:tcBorders>
              <w:top w:val="nil"/>
              <w:left w:val="nil"/>
              <w:bottom w:val="single" w:sz="8" w:space="0" w:color="auto"/>
              <w:right w:val="nil"/>
            </w:tcBorders>
            <w:shd w:val="clear" w:color="000000" w:fill="FFFFFF"/>
            <w:noWrap/>
            <w:vAlign w:val="bottom"/>
            <w:hideMark/>
          </w:tcPr>
          <w:p w:rsidR="00EC7ACA" w:rsidRPr="005237DE" w:rsidRDefault="00B21ADB" w:rsidP="00652759">
            <w:pPr>
              <w:spacing w:line="240" w:lineRule="auto"/>
              <w:jc w:val="left"/>
              <w:rPr>
                <w:rFonts w:eastAsia="Times New Roman"/>
                <w:sz w:val="18"/>
                <w:szCs w:val="18"/>
                <w:lang w:eastAsia="pt-BR"/>
              </w:rPr>
            </w:pPr>
            <w:r>
              <w:rPr>
                <w:rFonts w:eastAsia="Times New Roman"/>
                <w:sz w:val="18"/>
                <w:szCs w:val="18"/>
                <w:lang w:eastAsia="pt-BR"/>
              </w:rPr>
              <w:t>ATR (kg t</w:t>
            </w:r>
            <w:r w:rsidRPr="00B21ADB">
              <w:rPr>
                <w:rFonts w:eastAsia="Times New Roman"/>
                <w:sz w:val="18"/>
                <w:szCs w:val="18"/>
                <w:vertAlign w:val="superscript"/>
                <w:lang w:eastAsia="pt-BR"/>
              </w:rPr>
              <w:t>-1</w:t>
            </w:r>
            <w:r w:rsidR="00EC7ACA" w:rsidRPr="005237DE">
              <w:rPr>
                <w:rFonts w:eastAsia="Times New Roman"/>
                <w:sz w:val="18"/>
                <w:szCs w:val="18"/>
                <w:lang w:eastAsia="pt-BR"/>
              </w:rPr>
              <w:t>)</w:t>
            </w:r>
          </w:p>
        </w:tc>
        <w:tc>
          <w:tcPr>
            <w:tcW w:w="650"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118,58</w:t>
            </w:r>
          </w:p>
        </w:tc>
        <w:tc>
          <w:tcPr>
            <w:tcW w:w="760" w:type="pct"/>
            <w:tcBorders>
              <w:top w:val="nil"/>
              <w:left w:val="nil"/>
              <w:bottom w:val="single" w:sz="8" w:space="0" w:color="auto"/>
              <w:right w:val="nil"/>
            </w:tcBorders>
            <w:shd w:val="clear" w:color="000000" w:fill="FFFFFF"/>
            <w:noWrap/>
            <w:vAlign w:val="bottom"/>
            <w:hideMark/>
          </w:tcPr>
          <w:p w:rsidR="00EC7ACA" w:rsidRPr="005237DE" w:rsidRDefault="00EC7ACA" w:rsidP="00B21ADB">
            <w:pPr>
              <w:spacing w:line="240" w:lineRule="auto"/>
              <w:jc w:val="center"/>
              <w:rPr>
                <w:rFonts w:eastAsia="Times New Roman"/>
                <w:sz w:val="18"/>
                <w:szCs w:val="18"/>
                <w:lang w:eastAsia="pt-BR"/>
              </w:rPr>
            </w:pPr>
            <w:r w:rsidRPr="005237DE">
              <w:rPr>
                <w:rFonts w:eastAsia="Times New Roman"/>
                <w:sz w:val="18"/>
                <w:szCs w:val="18"/>
                <w:lang w:eastAsia="pt-BR"/>
              </w:rPr>
              <w:t>ATR (R$</w:t>
            </w:r>
            <w:r w:rsidR="00B21ADB">
              <w:rPr>
                <w:rFonts w:eastAsia="Times New Roman"/>
                <w:sz w:val="18"/>
                <w:szCs w:val="18"/>
                <w:lang w:eastAsia="pt-BR"/>
              </w:rPr>
              <w:t xml:space="preserve"> k</w:t>
            </w:r>
            <w:r w:rsidRPr="005237DE">
              <w:rPr>
                <w:rFonts w:eastAsia="Times New Roman"/>
                <w:sz w:val="18"/>
                <w:szCs w:val="18"/>
                <w:lang w:eastAsia="pt-BR"/>
              </w:rPr>
              <w:t>g</w:t>
            </w:r>
            <w:r w:rsidR="00B21ADB" w:rsidRPr="00B21ADB">
              <w:rPr>
                <w:rFonts w:eastAsia="Times New Roman"/>
                <w:sz w:val="18"/>
                <w:szCs w:val="18"/>
                <w:vertAlign w:val="superscript"/>
                <w:lang w:eastAsia="pt-BR"/>
              </w:rPr>
              <w:t>-1</w:t>
            </w:r>
            <w:r w:rsidRPr="005237DE">
              <w:rPr>
                <w:rFonts w:eastAsia="Times New Roman"/>
                <w:sz w:val="18"/>
                <w:szCs w:val="18"/>
                <w:lang w:eastAsia="pt-BR"/>
              </w:rPr>
              <w:t>)</w:t>
            </w:r>
          </w:p>
        </w:tc>
        <w:tc>
          <w:tcPr>
            <w:tcW w:w="600"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R</w:t>
            </w:r>
            <w:proofErr w:type="gramStart"/>
            <w:r w:rsidRPr="005237DE">
              <w:rPr>
                <w:rFonts w:eastAsia="Times New Roman"/>
                <w:bCs/>
                <w:sz w:val="18"/>
                <w:szCs w:val="18"/>
                <w:lang w:eastAsia="pt-BR"/>
              </w:rPr>
              <w:t>$  0</w:t>
            </w:r>
            <w:proofErr w:type="gramEnd"/>
            <w:r w:rsidRPr="005237DE">
              <w:rPr>
                <w:rFonts w:eastAsia="Times New Roman"/>
                <w:bCs/>
                <w:sz w:val="18"/>
                <w:szCs w:val="18"/>
                <w:lang w:eastAsia="pt-BR"/>
              </w:rPr>
              <w:t>,4763</w:t>
            </w:r>
          </w:p>
        </w:tc>
        <w:tc>
          <w:tcPr>
            <w:tcW w:w="706"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 xml:space="preserve">Vl.  </w:t>
            </w:r>
            <w:proofErr w:type="spellStart"/>
            <w:r w:rsidRPr="005237DE">
              <w:rPr>
                <w:rFonts w:eastAsia="Times New Roman"/>
                <w:sz w:val="18"/>
                <w:szCs w:val="18"/>
                <w:lang w:eastAsia="pt-BR"/>
              </w:rPr>
              <w:t>Ton</w:t>
            </w:r>
            <w:proofErr w:type="spellEnd"/>
            <w:r w:rsidRPr="005237DE">
              <w:rPr>
                <w:rFonts w:eastAsia="Times New Roman"/>
                <w:sz w:val="18"/>
                <w:szCs w:val="18"/>
                <w:lang w:eastAsia="pt-BR"/>
              </w:rPr>
              <w:t xml:space="preserve"> (R$)</w:t>
            </w:r>
          </w:p>
        </w:tc>
        <w:tc>
          <w:tcPr>
            <w:tcW w:w="589"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R$ 56,48</w:t>
            </w:r>
          </w:p>
        </w:tc>
        <w:tc>
          <w:tcPr>
            <w:tcW w:w="553" w:type="pct"/>
            <w:tcBorders>
              <w:top w:val="nil"/>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RECEITAS</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1</w:t>
            </w: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w:t>
            </w: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3</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4</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5</w:t>
            </w: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Venda cana de açúcar</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88.673</w:t>
            </w: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88.673</w:t>
            </w: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88.673</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88.673</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88.673</w:t>
            </w:r>
          </w:p>
        </w:tc>
      </w:tr>
      <w:tr w:rsidR="00EC7ACA" w:rsidRPr="005237DE" w:rsidTr="00EC7ACA">
        <w:trPr>
          <w:trHeight w:val="20"/>
        </w:trPr>
        <w:tc>
          <w:tcPr>
            <w:tcW w:w="114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RECEITA TOTAL</w:t>
            </w:r>
          </w:p>
        </w:tc>
        <w:tc>
          <w:tcPr>
            <w:tcW w:w="65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0</w:t>
            </w:r>
          </w:p>
        </w:tc>
        <w:tc>
          <w:tcPr>
            <w:tcW w:w="76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88.673</w:t>
            </w:r>
          </w:p>
        </w:tc>
        <w:tc>
          <w:tcPr>
            <w:tcW w:w="60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88.673</w:t>
            </w:r>
          </w:p>
        </w:tc>
        <w:tc>
          <w:tcPr>
            <w:tcW w:w="706"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88.673</w:t>
            </w:r>
          </w:p>
        </w:tc>
        <w:tc>
          <w:tcPr>
            <w:tcW w:w="589"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88.673</w:t>
            </w:r>
          </w:p>
        </w:tc>
        <w:tc>
          <w:tcPr>
            <w:tcW w:w="5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88.673</w:t>
            </w: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DESPESAS</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Custo Plantio</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Custos CCT</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Custo Tratos Soqueira</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proofErr w:type="spellStart"/>
            <w:r w:rsidRPr="005237DE">
              <w:rPr>
                <w:rFonts w:eastAsia="Times New Roman"/>
                <w:sz w:val="18"/>
                <w:szCs w:val="18"/>
                <w:lang w:eastAsia="pt-BR"/>
              </w:rPr>
              <w:t>Funrural</w:t>
            </w:r>
            <w:proofErr w:type="spellEnd"/>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2.039</w:t>
            </w: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2.039</w:t>
            </w: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2.039</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2.039</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2.039</w:t>
            </w:r>
          </w:p>
        </w:tc>
      </w:tr>
      <w:tr w:rsidR="00EC7ACA" w:rsidRPr="005237DE" w:rsidTr="00EC7ACA">
        <w:trPr>
          <w:trHeight w:val="20"/>
        </w:trPr>
        <w:tc>
          <w:tcPr>
            <w:tcW w:w="114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DESPESA TOTAL</w:t>
            </w:r>
          </w:p>
        </w:tc>
        <w:tc>
          <w:tcPr>
            <w:tcW w:w="65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0</w:t>
            </w:r>
          </w:p>
        </w:tc>
        <w:tc>
          <w:tcPr>
            <w:tcW w:w="76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2.039</w:t>
            </w:r>
          </w:p>
        </w:tc>
        <w:tc>
          <w:tcPr>
            <w:tcW w:w="60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2.039</w:t>
            </w:r>
          </w:p>
        </w:tc>
        <w:tc>
          <w:tcPr>
            <w:tcW w:w="706"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2.039</w:t>
            </w:r>
          </w:p>
        </w:tc>
        <w:tc>
          <w:tcPr>
            <w:tcW w:w="589"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2.039</w:t>
            </w:r>
          </w:p>
        </w:tc>
        <w:tc>
          <w:tcPr>
            <w:tcW w:w="5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2.039</w:t>
            </w: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Lucro antes IR</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86.634</w:t>
            </w: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86.634</w:t>
            </w: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86.634</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86.634</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86.634</w:t>
            </w: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Imposto de Renda</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0</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17.735</w:t>
            </w: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17.735</w:t>
            </w: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17.735</w:t>
            </w: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17.735</w:t>
            </w: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17.735</w:t>
            </w:r>
          </w:p>
        </w:tc>
      </w:tr>
      <w:tr w:rsidR="00EC7ACA" w:rsidRPr="005237DE" w:rsidTr="00EC7ACA">
        <w:trPr>
          <w:trHeight w:val="20"/>
        </w:trPr>
        <w:tc>
          <w:tcPr>
            <w:tcW w:w="1142"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left"/>
              <w:rPr>
                <w:rFonts w:eastAsia="Times New Roman"/>
                <w:sz w:val="18"/>
                <w:szCs w:val="18"/>
                <w:lang w:eastAsia="pt-BR"/>
              </w:rPr>
            </w:pPr>
            <w:r w:rsidRPr="005237DE">
              <w:rPr>
                <w:rFonts w:eastAsia="Times New Roman"/>
                <w:sz w:val="18"/>
                <w:szCs w:val="18"/>
                <w:lang w:eastAsia="pt-BR"/>
              </w:rPr>
              <w:t>Investimento (Terra)</w:t>
            </w:r>
          </w:p>
        </w:tc>
        <w:tc>
          <w:tcPr>
            <w:tcW w:w="65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-2.310.741</w:t>
            </w:r>
          </w:p>
        </w:tc>
        <w:tc>
          <w:tcPr>
            <w:tcW w:w="76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600"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706"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589"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p>
        </w:tc>
        <w:tc>
          <w:tcPr>
            <w:tcW w:w="553" w:type="pct"/>
            <w:tcBorders>
              <w:top w:val="nil"/>
              <w:left w:val="nil"/>
              <w:bottom w:val="nil"/>
              <w:right w:val="nil"/>
            </w:tcBorders>
            <w:shd w:val="clear" w:color="000000" w:fill="FFFFFF"/>
            <w:noWrap/>
            <w:vAlign w:val="bottom"/>
            <w:hideMark/>
          </w:tcPr>
          <w:p w:rsidR="00EC7ACA" w:rsidRPr="005237DE" w:rsidRDefault="00EC7ACA" w:rsidP="00652759">
            <w:pPr>
              <w:spacing w:line="240" w:lineRule="auto"/>
              <w:jc w:val="center"/>
              <w:rPr>
                <w:rFonts w:eastAsia="Times New Roman"/>
                <w:sz w:val="18"/>
                <w:szCs w:val="18"/>
                <w:lang w:eastAsia="pt-BR"/>
              </w:rPr>
            </w:pPr>
            <w:r w:rsidRPr="005237DE">
              <w:rPr>
                <w:rFonts w:eastAsia="Times New Roman"/>
                <w:sz w:val="18"/>
                <w:szCs w:val="18"/>
                <w:lang w:eastAsia="pt-BR"/>
              </w:rPr>
              <w:t>2.310.741</w:t>
            </w:r>
          </w:p>
        </w:tc>
      </w:tr>
      <w:tr w:rsidR="00EC7ACA" w:rsidRPr="005237DE" w:rsidTr="00EC7ACA">
        <w:trPr>
          <w:trHeight w:val="20"/>
        </w:trPr>
        <w:tc>
          <w:tcPr>
            <w:tcW w:w="114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F.C. LIQUIDO</w:t>
            </w:r>
          </w:p>
        </w:tc>
        <w:tc>
          <w:tcPr>
            <w:tcW w:w="65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-2.310.741</w:t>
            </w:r>
          </w:p>
        </w:tc>
        <w:tc>
          <w:tcPr>
            <w:tcW w:w="76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68.899</w:t>
            </w:r>
          </w:p>
        </w:tc>
        <w:tc>
          <w:tcPr>
            <w:tcW w:w="60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68.899</w:t>
            </w:r>
          </w:p>
        </w:tc>
        <w:tc>
          <w:tcPr>
            <w:tcW w:w="706"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68.899</w:t>
            </w:r>
          </w:p>
        </w:tc>
        <w:tc>
          <w:tcPr>
            <w:tcW w:w="589"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68.899</w:t>
            </w:r>
          </w:p>
        </w:tc>
        <w:tc>
          <w:tcPr>
            <w:tcW w:w="5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2.379.640</w:t>
            </w:r>
          </w:p>
        </w:tc>
      </w:tr>
      <w:tr w:rsidR="00EC7ACA" w:rsidRPr="005237DE" w:rsidTr="00EC7ACA">
        <w:trPr>
          <w:trHeight w:val="20"/>
        </w:trPr>
        <w:tc>
          <w:tcPr>
            <w:tcW w:w="1142"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left"/>
              <w:rPr>
                <w:rFonts w:eastAsia="Times New Roman"/>
                <w:bCs/>
                <w:sz w:val="18"/>
                <w:szCs w:val="18"/>
                <w:lang w:eastAsia="pt-BR"/>
              </w:rPr>
            </w:pPr>
            <w:r w:rsidRPr="005237DE">
              <w:rPr>
                <w:rFonts w:eastAsia="Times New Roman"/>
                <w:bCs/>
                <w:sz w:val="18"/>
                <w:szCs w:val="18"/>
                <w:lang w:eastAsia="pt-BR"/>
              </w:rPr>
              <w:t>F.C. ACUMUL.</w:t>
            </w:r>
          </w:p>
        </w:tc>
        <w:tc>
          <w:tcPr>
            <w:tcW w:w="65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-2.310.741</w:t>
            </w:r>
          </w:p>
        </w:tc>
        <w:tc>
          <w:tcPr>
            <w:tcW w:w="76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-2.241.842</w:t>
            </w:r>
          </w:p>
        </w:tc>
        <w:tc>
          <w:tcPr>
            <w:tcW w:w="600"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-2.172.943</w:t>
            </w:r>
          </w:p>
        </w:tc>
        <w:tc>
          <w:tcPr>
            <w:tcW w:w="706"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-2.104.044</w:t>
            </w:r>
          </w:p>
        </w:tc>
        <w:tc>
          <w:tcPr>
            <w:tcW w:w="589"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-2.035.145</w:t>
            </w:r>
          </w:p>
        </w:tc>
        <w:tc>
          <w:tcPr>
            <w:tcW w:w="553" w:type="pct"/>
            <w:tcBorders>
              <w:top w:val="single" w:sz="4" w:space="0" w:color="auto"/>
              <w:left w:val="nil"/>
              <w:bottom w:val="single" w:sz="8" w:space="0" w:color="auto"/>
              <w:right w:val="nil"/>
            </w:tcBorders>
            <w:shd w:val="clear" w:color="000000" w:fill="FFFFFF"/>
            <w:noWrap/>
            <w:vAlign w:val="bottom"/>
            <w:hideMark/>
          </w:tcPr>
          <w:p w:rsidR="00EC7ACA" w:rsidRPr="005237DE" w:rsidRDefault="00EC7ACA" w:rsidP="00652759">
            <w:pPr>
              <w:spacing w:line="240" w:lineRule="auto"/>
              <w:jc w:val="center"/>
              <w:rPr>
                <w:rFonts w:eastAsia="Times New Roman"/>
                <w:bCs/>
                <w:sz w:val="18"/>
                <w:szCs w:val="18"/>
                <w:lang w:eastAsia="pt-BR"/>
              </w:rPr>
            </w:pPr>
            <w:r w:rsidRPr="005237DE">
              <w:rPr>
                <w:rFonts w:eastAsia="Times New Roman"/>
                <w:bCs/>
                <w:sz w:val="18"/>
                <w:szCs w:val="18"/>
                <w:lang w:eastAsia="pt-BR"/>
              </w:rPr>
              <w:t>344.495</w:t>
            </w:r>
          </w:p>
        </w:tc>
      </w:tr>
    </w:tbl>
    <w:p w:rsidR="008B7756" w:rsidRDefault="008B7756" w:rsidP="00A543B9">
      <w:pPr>
        <w:spacing w:line="360" w:lineRule="auto"/>
        <w:ind w:firstLine="426"/>
      </w:pPr>
    </w:p>
    <w:p w:rsidR="000D626B" w:rsidRPr="00661D5D" w:rsidRDefault="00A543B9" w:rsidP="00A543B9">
      <w:pPr>
        <w:spacing w:line="360" w:lineRule="auto"/>
        <w:ind w:firstLine="426"/>
      </w:pPr>
      <w:r>
        <w:t>Como observado na Tabela 6, t</w:t>
      </w:r>
      <w:r w:rsidRPr="00A543B9">
        <w:t>odos os projetos resultaram em VPL negat</w:t>
      </w:r>
      <w:r>
        <w:t>ivo e</w:t>
      </w:r>
      <w:r w:rsidRPr="00A543B9">
        <w:t xml:space="preserve"> TIR inferior à taxa mínima de atratividade de 3,5%. O tempo para retorno do capital investido, sem considerar o valor do dinheiro no tempo, na modalidade "cana esteira" foi superior ao período do projeto e, nas outras modalidades, o período para retorno é muito próximo à duração do projeto. Com base nesses dados, os projetos são considerados inviáveis.</w:t>
      </w:r>
    </w:p>
    <w:p w:rsidR="000D626B" w:rsidRPr="005237DE" w:rsidRDefault="000D626B" w:rsidP="000D626B">
      <w:pPr>
        <w:spacing w:line="360" w:lineRule="auto"/>
      </w:pPr>
    </w:p>
    <w:p w:rsidR="000D626B" w:rsidRDefault="00A543B9" w:rsidP="00F44510">
      <w:pPr>
        <w:spacing w:after="120" w:line="240" w:lineRule="auto"/>
      </w:pPr>
      <w:r>
        <w:t>Tabela 6</w:t>
      </w:r>
      <w:r w:rsidR="000D626B" w:rsidRPr="005237DE">
        <w:t xml:space="preserve">. </w:t>
      </w:r>
      <w:r w:rsidR="007773CA">
        <w:t xml:space="preserve">Comparativo de rentabilidade, entre as modalidades de exploração analisadas </w:t>
      </w:r>
      <w:r w:rsidR="000D626B">
        <w:t>- Cenário atual</w:t>
      </w:r>
    </w:p>
    <w:tbl>
      <w:tblPr>
        <w:tblW w:w="5000" w:type="pct"/>
        <w:tblCellMar>
          <w:left w:w="70" w:type="dxa"/>
          <w:right w:w="70" w:type="dxa"/>
        </w:tblCellMar>
        <w:tblLook w:val="04A0" w:firstRow="1" w:lastRow="0" w:firstColumn="1" w:lastColumn="0" w:noHBand="0" w:noVBand="1"/>
      </w:tblPr>
      <w:tblGrid>
        <w:gridCol w:w="2871"/>
        <w:gridCol w:w="1795"/>
        <w:gridCol w:w="1517"/>
        <w:gridCol w:w="2461"/>
      </w:tblGrid>
      <w:tr w:rsidR="000D626B" w:rsidRPr="00A543B9" w:rsidTr="00F44510">
        <w:trPr>
          <w:trHeight w:hRule="exact" w:val="454"/>
        </w:trPr>
        <w:tc>
          <w:tcPr>
            <w:tcW w:w="1661" w:type="pct"/>
            <w:tcBorders>
              <w:top w:val="single" w:sz="4" w:space="0" w:color="auto"/>
              <w:left w:val="nil"/>
              <w:bottom w:val="single" w:sz="8" w:space="0" w:color="auto"/>
              <w:right w:val="nil"/>
            </w:tcBorders>
            <w:shd w:val="clear" w:color="auto" w:fill="auto"/>
            <w:noWrap/>
            <w:vAlign w:val="bottom"/>
            <w:hideMark/>
          </w:tcPr>
          <w:p w:rsidR="000D626B" w:rsidRPr="00A543B9" w:rsidRDefault="000D626B" w:rsidP="00F44510">
            <w:pPr>
              <w:spacing w:line="240" w:lineRule="auto"/>
              <w:jc w:val="left"/>
              <w:rPr>
                <w:rFonts w:eastAsia="Times New Roman"/>
                <w:bCs/>
                <w:sz w:val="20"/>
                <w:szCs w:val="20"/>
                <w:lang w:eastAsia="pt-BR"/>
              </w:rPr>
            </w:pPr>
            <w:r w:rsidRPr="00A543B9">
              <w:rPr>
                <w:rFonts w:eastAsia="Times New Roman"/>
                <w:bCs/>
                <w:sz w:val="20"/>
                <w:szCs w:val="20"/>
                <w:lang w:eastAsia="pt-BR"/>
              </w:rPr>
              <w:t>Sistema de produção</w:t>
            </w:r>
          </w:p>
        </w:tc>
        <w:tc>
          <w:tcPr>
            <w:tcW w:w="1038" w:type="pct"/>
            <w:tcBorders>
              <w:top w:val="single" w:sz="4" w:space="0" w:color="auto"/>
              <w:left w:val="nil"/>
              <w:bottom w:val="single" w:sz="8" w:space="0" w:color="auto"/>
              <w:right w:val="nil"/>
            </w:tcBorders>
            <w:shd w:val="clear" w:color="auto" w:fill="auto"/>
            <w:noWrap/>
            <w:vAlign w:val="bottom"/>
            <w:hideMark/>
          </w:tcPr>
          <w:p w:rsidR="000D626B" w:rsidRPr="00A543B9" w:rsidRDefault="000D626B" w:rsidP="00F44510">
            <w:pPr>
              <w:spacing w:line="240" w:lineRule="auto"/>
              <w:jc w:val="center"/>
              <w:rPr>
                <w:rFonts w:eastAsia="Times New Roman"/>
                <w:bCs/>
                <w:sz w:val="20"/>
                <w:szCs w:val="20"/>
                <w:lang w:eastAsia="pt-BR"/>
              </w:rPr>
            </w:pPr>
            <w:r w:rsidRPr="00A543B9">
              <w:rPr>
                <w:rFonts w:eastAsia="Times New Roman"/>
                <w:bCs/>
                <w:sz w:val="20"/>
                <w:szCs w:val="20"/>
                <w:lang w:eastAsia="pt-BR"/>
              </w:rPr>
              <w:t>VPL</w:t>
            </w:r>
          </w:p>
        </w:tc>
        <w:tc>
          <w:tcPr>
            <w:tcW w:w="877" w:type="pct"/>
            <w:tcBorders>
              <w:top w:val="single" w:sz="4" w:space="0" w:color="auto"/>
              <w:left w:val="nil"/>
              <w:bottom w:val="single" w:sz="8" w:space="0" w:color="auto"/>
              <w:right w:val="nil"/>
            </w:tcBorders>
            <w:shd w:val="clear" w:color="auto" w:fill="auto"/>
            <w:noWrap/>
            <w:vAlign w:val="bottom"/>
            <w:hideMark/>
          </w:tcPr>
          <w:p w:rsidR="000D626B" w:rsidRPr="00A543B9" w:rsidRDefault="000D626B" w:rsidP="00F44510">
            <w:pPr>
              <w:spacing w:line="240" w:lineRule="auto"/>
              <w:jc w:val="center"/>
              <w:rPr>
                <w:rFonts w:eastAsia="Times New Roman"/>
                <w:bCs/>
                <w:sz w:val="20"/>
                <w:szCs w:val="20"/>
                <w:lang w:eastAsia="pt-BR"/>
              </w:rPr>
            </w:pPr>
            <w:r w:rsidRPr="00A543B9">
              <w:rPr>
                <w:rFonts w:eastAsia="Times New Roman"/>
                <w:bCs/>
                <w:sz w:val="20"/>
                <w:szCs w:val="20"/>
                <w:lang w:eastAsia="pt-BR"/>
              </w:rPr>
              <w:t>TIR</w:t>
            </w:r>
          </w:p>
        </w:tc>
        <w:tc>
          <w:tcPr>
            <w:tcW w:w="1424" w:type="pct"/>
            <w:tcBorders>
              <w:top w:val="single" w:sz="4" w:space="0" w:color="auto"/>
              <w:left w:val="nil"/>
              <w:bottom w:val="single" w:sz="8" w:space="0" w:color="auto"/>
              <w:right w:val="nil"/>
            </w:tcBorders>
            <w:shd w:val="clear" w:color="auto" w:fill="auto"/>
            <w:noWrap/>
            <w:vAlign w:val="bottom"/>
            <w:hideMark/>
          </w:tcPr>
          <w:p w:rsidR="000D626B" w:rsidRPr="00A543B9" w:rsidRDefault="000D626B" w:rsidP="00F44510">
            <w:pPr>
              <w:spacing w:line="240" w:lineRule="auto"/>
              <w:jc w:val="center"/>
              <w:rPr>
                <w:rFonts w:eastAsia="Times New Roman"/>
                <w:bCs/>
                <w:sz w:val="20"/>
                <w:szCs w:val="20"/>
                <w:lang w:eastAsia="pt-BR"/>
              </w:rPr>
            </w:pPr>
            <w:r w:rsidRPr="00A543B9">
              <w:rPr>
                <w:rFonts w:eastAsia="Times New Roman"/>
                <w:bCs/>
                <w:sz w:val="20"/>
                <w:szCs w:val="20"/>
                <w:lang w:eastAsia="pt-BR"/>
              </w:rPr>
              <w:t>“</w:t>
            </w:r>
            <w:proofErr w:type="spellStart"/>
            <w:r w:rsidRPr="00A543B9">
              <w:rPr>
                <w:rFonts w:eastAsia="Times New Roman"/>
                <w:bCs/>
                <w:sz w:val="20"/>
                <w:szCs w:val="20"/>
                <w:lang w:eastAsia="pt-BR"/>
              </w:rPr>
              <w:t>Payback</w:t>
            </w:r>
            <w:proofErr w:type="spellEnd"/>
            <w:r w:rsidRPr="00A543B9">
              <w:rPr>
                <w:rFonts w:eastAsia="Times New Roman"/>
                <w:bCs/>
                <w:sz w:val="20"/>
                <w:szCs w:val="20"/>
                <w:lang w:eastAsia="pt-BR"/>
              </w:rPr>
              <w:t>” simples</w:t>
            </w:r>
          </w:p>
        </w:tc>
      </w:tr>
      <w:tr w:rsidR="000D626B" w:rsidRPr="00A543B9" w:rsidTr="00F44510">
        <w:trPr>
          <w:trHeight w:hRule="exact" w:val="454"/>
        </w:trPr>
        <w:tc>
          <w:tcPr>
            <w:tcW w:w="1661" w:type="pct"/>
            <w:tcBorders>
              <w:top w:val="single" w:sz="8" w:space="0" w:color="auto"/>
              <w:left w:val="nil"/>
              <w:right w:val="nil"/>
            </w:tcBorders>
            <w:shd w:val="clear" w:color="auto" w:fill="auto"/>
            <w:noWrap/>
            <w:vAlign w:val="bottom"/>
          </w:tcPr>
          <w:p w:rsidR="000D626B" w:rsidRPr="00A543B9" w:rsidRDefault="000D626B" w:rsidP="00F44510">
            <w:pPr>
              <w:spacing w:line="240" w:lineRule="auto"/>
              <w:jc w:val="center"/>
              <w:rPr>
                <w:rFonts w:eastAsia="Times New Roman"/>
                <w:bCs/>
                <w:sz w:val="20"/>
                <w:szCs w:val="20"/>
                <w:lang w:eastAsia="pt-BR"/>
              </w:rPr>
            </w:pPr>
          </w:p>
        </w:tc>
        <w:tc>
          <w:tcPr>
            <w:tcW w:w="1038" w:type="pct"/>
            <w:tcBorders>
              <w:top w:val="single" w:sz="8" w:space="0" w:color="auto"/>
              <w:left w:val="nil"/>
              <w:right w:val="nil"/>
            </w:tcBorders>
            <w:shd w:val="clear" w:color="auto" w:fill="auto"/>
            <w:noWrap/>
            <w:vAlign w:val="bottom"/>
          </w:tcPr>
          <w:p w:rsidR="000D626B" w:rsidRPr="00A543B9" w:rsidRDefault="000D626B" w:rsidP="00F44510">
            <w:pPr>
              <w:spacing w:line="240" w:lineRule="auto"/>
              <w:jc w:val="center"/>
              <w:rPr>
                <w:rFonts w:eastAsia="Times New Roman"/>
                <w:bCs/>
                <w:sz w:val="20"/>
                <w:szCs w:val="20"/>
                <w:lang w:eastAsia="pt-BR"/>
              </w:rPr>
            </w:pPr>
            <w:r w:rsidRPr="00A543B9">
              <w:rPr>
                <w:rFonts w:eastAsia="Times New Roman"/>
                <w:bCs/>
                <w:sz w:val="20"/>
                <w:szCs w:val="20"/>
                <w:lang w:eastAsia="pt-BR"/>
              </w:rPr>
              <w:t>----------R$-----------</w:t>
            </w:r>
          </w:p>
        </w:tc>
        <w:tc>
          <w:tcPr>
            <w:tcW w:w="877" w:type="pct"/>
            <w:tcBorders>
              <w:top w:val="single" w:sz="8" w:space="0" w:color="auto"/>
              <w:left w:val="nil"/>
              <w:right w:val="nil"/>
            </w:tcBorders>
            <w:shd w:val="clear" w:color="auto" w:fill="auto"/>
            <w:noWrap/>
            <w:vAlign w:val="bottom"/>
          </w:tcPr>
          <w:p w:rsidR="000D626B" w:rsidRPr="00A543B9" w:rsidRDefault="000D626B" w:rsidP="00F44510">
            <w:pPr>
              <w:spacing w:line="240" w:lineRule="auto"/>
              <w:jc w:val="center"/>
              <w:rPr>
                <w:rFonts w:eastAsia="Times New Roman"/>
                <w:bCs/>
                <w:sz w:val="20"/>
                <w:szCs w:val="20"/>
                <w:lang w:eastAsia="pt-BR"/>
              </w:rPr>
            </w:pPr>
            <w:r w:rsidRPr="00A543B9">
              <w:rPr>
                <w:rFonts w:eastAsia="Times New Roman"/>
                <w:bCs/>
                <w:sz w:val="20"/>
                <w:szCs w:val="20"/>
                <w:lang w:eastAsia="pt-BR"/>
              </w:rPr>
              <w:t>---------%---------</w:t>
            </w:r>
          </w:p>
        </w:tc>
        <w:tc>
          <w:tcPr>
            <w:tcW w:w="1424" w:type="pct"/>
            <w:tcBorders>
              <w:top w:val="single" w:sz="8" w:space="0" w:color="auto"/>
              <w:left w:val="nil"/>
              <w:right w:val="nil"/>
            </w:tcBorders>
            <w:shd w:val="clear" w:color="auto" w:fill="auto"/>
            <w:noWrap/>
            <w:vAlign w:val="bottom"/>
          </w:tcPr>
          <w:p w:rsidR="000D626B" w:rsidRPr="00A543B9" w:rsidRDefault="000D626B" w:rsidP="00F44510">
            <w:pPr>
              <w:spacing w:line="240" w:lineRule="auto"/>
              <w:jc w:val="center"/>
              <w:rPr>
                <w:rFonts w:eastAsia="Times New Roman"/>
                <w:bCs/>
                <w:sz w:val="20"/>
                <w:szCs w:val="20"/>
                <w:lang w:eastAsia="pt-BR"/>
              </w:rPr>
            </w:pPr>
            <w:r w:rsidRPr="00A543B9">
              <w:rPr>
                <w:rFonts w:eastAsia="Times New Roman"/>
                <w:bCs/>
                <w:sz w:val="20"/>
                <w:szCs w:val="20"/>
                <w:lang w:eastAsia="pt-BR"/>
              </w:rPr>
              <w:t>--------------Anos--------------</w:t>
            </w:r>
          </w:p>
        </w:tc>
      </w:tr>
      <w:tr w:rsidR="000D626B" w:rsidRPr="00A543B9" w:rsidTr="00F44510">
        <w:trPr>
          <w:trHeight w:val="377"/>
        </w:trPr>
        <w:tc>
          <w:tcPr>
            <w:tcW w:w="1661" w:type="pct"/>
            <w:tcBorders>
              <w:left w:val="nil"/>
              <w:bottom w:val="nil"/>
              <w:right w:val="nil"/>
            </w:tcBorders>
            <w:shd w:val="clear" w:color="auto" w:fill="auto"/>
            <w:noWrap/>
            <w:vAlign w:val="bottom"/>
            <w:hideMark/>
          </w:tcPr>
          <w:p w:rsidR="000D626B" w:rsidRPr="00A543B9" w:rsidRDefault="000D626B" w:rsidP="00F44510">
            <w:pPr>
              <w:spacing w:line="240" w:lineRule="auto"/>
              <w:jc w:val="left"/>
              <w:rPr>
                <w:rFonts w:eastAsia="Times New Roman"/>
                <w:sz w:val="20"/>
                <w:szCs w:val="20"/>
                <w:lang w:eastAsia="pt-BR"/>
              </w:rPr>
            </w:pPr>
            <w:r w:rsidRPr="00A543B9">
              <w:rPr>
                <w:rFonts w:eastAsia="Times New Roman"/>
                <w:sz w:val="20"/>
                <w:szCs w:val="20"/>
                <w:lang w:eastAsia="pt-BR"/>
              </w:rPr>
              <w:t>Arrendamento</w:t>
            </w:r>
          </w:p>
        </w:tc>
        <w:tc>
          <w:tcPr>
            <w:tcW w:w="1038" w:type="pct"/>
            <w:tcBorders>
              <w:left w:val="nil"/>
              <w:bottom w:val="nil"/>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-54.076,65</w:t>
            </w:r>
          </w:p>
        </w:tc>
        <w:tc>
          <w:tcPr>
            <w:tcW w:w="877" w:type="pct"/>
            <w:tcBorders>
              <w:left w:val="nil"/>
              <w:bottom w:val="nil"/>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2,98</w:t>
            </w:r>
          </w:p>
        </w:tc>
        <w:tc>
          <w:tcPr>
            <w:tcW w:w="1424" w:type="pct"/>
            <w:tcBorders>
              <w:left w:val="nil"/>
              <w:bottom w:val="nil"/>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4,80</w:t>
            </w:r>
          </w:p>
        </w:tc>
      </w:tr>
      <w:tr w:rsidR="000D626B" w:rsidRPr="00A543B9" w:rsidTr="00F44510">
        <w:trPr>
          <w:trHeight w:val="377"/>
        </w:trPr>
        <w:tc>
          <w:tcPr>
            <w:tcW w:w="1661" w:type="pct"/>
            <w:tcBorders>
              <w:top w:val="nil"/>
              <w:left w:val="nil"/>
              <w:bottom w:val="nil"/>
              <w:right w:val="nil"/>
            </w:tcBorders>
            <w:shd w:val="clear" w:color="auto" w:fill="auto"/>
            <w:noWrap/>
            <w:vAlign w:val="bottom"/>
            <w:hideMark/>
          </w:tcPr>
          <w:p w:rsidR="000D626B" w:rsidRPr="00A543B9" w:rsidRDefault="000D626B" w:rsidP="00F44510">
            <w:pPr>
              <w:spacing w:line="240" w:lineRule="auto"/>
              <w:jc w:val="left"/>
              <w:rPr>
                <w:rFonts w:eastAsia="Times New Roman"/>
                <w:sz w:val="20"/>
                <w:szCs w:val="20"/>
                <w:lang w:eastAsia="pt-BR"/>
              </w:rPr>
            </w:pPr>
            <w:r w:rsidRPr="00A543B9">
              <w:rPr>
                <w:rFonts w:eastAsia="Times New Roman"/>
                <w:sz w:val="20"/>
                <w:szCs w:val="20"/>
                <w:lang w:eastAsia="pt-BR"/>
              </w:rPr>
              <w:t>Fornecimento - "Cana esteira"</w:t>
            </w:r>
          </w:p>
        </w:tc>
        <w:tc>
          <w:tcPr>
            <w:tcW w:w="1038" w:type="pct"/>
            <w:tcBorders>
              <w:top w:val="nil"/>
              <w:left w:val="nil"/>
              <w:bottom w:val="nil"/>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-310.264,24</w:t>
            </w:r>
          </w:p>
        </w:tc>
        <w:tc>
          <w:tcPr>
            <w:tcW w:w="877" w:type="pct"/>
            <w:tcBorders>
              <w:top w:val="nil"/>
              <w:left w:val="nil"/>
              <w:bottom w:val="nil"/>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0,86</w:t>
            </w:r>
          </w:p>
        </w:tc>
        <w:tc>
          <w:tcPr>
            <w:tcW w:w="1424" w:type="pct"/>
            <w:tcBorders>
              <w:top w:val="nil"/>
              <w:left w:val="nil"/>
              <w:bottom w:val="nil"/>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5,22</w:t>
            </w:r>
          </w:p>
        </w:tc>
      </w:tr>
      <w:tr w:rsidR="000D626B" w:rsidRPr="00A543B9" w:rsidTr="00F44510">
        <w:trPr>
          <w:trHeight w:val="377"/>
        </w:trPr>
        <w:tc>
          <w:tcPr>
            <w:tcW w:w="1661" w:type="pct"/>
            <w:tcBorders>
              <w:top w:val="nil"/>
              <w:left w:val="nil"/>
              <w:bottom w:val="single" w:sz="4" w:space="0" w:color="auto"/>
              <w:right w:val="nil"/>
            </w:tcBorders>
            <w:shd w:val="clear" w:color="auto" w:fill="auto"/>
            <w:noWrap/>
            <w:vAlign w:val="bottom"/>
            <w:hideMark/>
          </w:tcPr>
          <w:p w:rsidR="000D626B" w:rsidRPr="00A543B9" w:rsidRDefault="000D626B" w:rsidP="00F44510">
            <w:pPr>
              <w:spacing w:line="240" w:lineRule="auto"/>
              <w:jc w:val="left"/>
              <w:rPr>
                <w:rFonts w:eastAsia="Times New Roman"/>
                <w:sz w:val="20"/>
                <w:szCs w:val="20"/>
                <w:lang w:eastAsia="pt-BR"/>
              </w:rPr>
            </w:pPr>
            <w:r w:rsidRPr="00A543B9">
              <w:rPr>
                <w:rFonts w:eastAsia="Times New Roman"/>
                <w:sz w:val="20"/>
                <w:szCs w:val="20"/>
                <w:lang w:eastAsia="pt-BR"/>
              </w:rPr>
              <w:t xml:space="preserve">Fornecimento - "Cana </w:t>
            </w:r>
            <w:r w:rsidRPr="00B5462E">
              <w:rPr>
                <w:rFonts w:eastAsia="Times New Roman"/>
                <w:iCs/>
                <w:sz w:val="20"/>
                <w:szCs w:val="20"/>
                <w:lang w:eastAsia="pt-BR"/>
              </w:rPr>
              <w:t>spot</w:t>
            </w:r>
            <w:r w:rsidRPr="00A543B9">
              <w:rPr>
                <w:rFonts w:eastAsia="Times New Roman"/>
                <w:sz w:val="20"/>
                <w:szCs w:val="20"/>
                <w:lang w:eastAsia="pt-BR"/>
              </w:rPr>
              <w:t>"</w:t>
            </w:r>
          </w:p>
        </w:tc>
        <w:tc>
          <w:tcPr>
            <w:tcW w:w="1038" w:type="pct"/>
            <w:tcBorders>
              <w:top w:val="nil"/>
              <w:left w:val="nil"/>
              <w:bottom w:val="single" w:sz="4" w:space="0" w:color="auto"/>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-18.438,37</w:t>
            </w:r>
          </w:p>
        </w:tc>
        <w:tc>
          <w:tcPr>
            <w:tcW w:w="877" w:type="pct"/>
            <w:tcBorders>
              <w:top w:val="nil"/>
              <w:left w:val="nil"/>
              <w:bottom w:val="single" w:sz="4" w:space="0" w:color="auto"/>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3,34</w:t>
            </w:r>
          </w:p>
        </w:tc>
        <w:tc>
          <w:tcPr>
            <w:tcW w:w="1424" w:type="pct"/>
            <w:tcBorders>
              <w:top w:val="nil"/>
              <w:left w:val="nil"/>
              <w:bottom w:val="single" w:sz="4" w:space="0" w:color="auto"/>
              <w:right w:val="nil"/>
            </w:tcBorders>
            <w:shd w:val="clear" w:color="auto" w:fill="auto"/>
            <w:noWrap/>
            <w:vAlign w:val="bottom"/>
            <w:hideMark/>
          </w:tcPr>
          <w:p w:rsidR="000D626B" w:rsidRPr="00A543B9" w:rsidRDefault="000D626B" w:rsidP="00F44510">
            <w:pPr>
              <w:spacing w:line="240" w:lineRule="auto"/>
              <w:jc w:val="center"/>
              <w:rPr>
                <w:rFonts w:eastAsia="Times New Roman"/>
                <w:sz w:val="20"/>
                <w:szCs w:val="20"/>
                <w:lang w:eastAsia="pt-BR"/>
              </w:rPr>
            </w:pPr>
            <w:r w:rsidRPr="00A543B9">
              <w:rPr>
                <w:rFonts w:eastAsia="Times New Roman"/>
                <w:sz w:val="20"/>
                <w:szCs w:val="20"/>
                <w:lang w:eastAsia="pt-BR"/>
              </w:rPr>
              <w:t>4,94</w:t>
            </w:r>
          </w:p>
        </w:tc>
      </w:tr>
    </w:tbl>
    <w:p w:rsidR="000D626B" w:rsidRDefault="000D626B" w:rsidP="000D626B">
      <w:pPr>
        <w:spacing w:before="120" w:line="240" w:lineRule="auto"/>
        <w:rPr>
          <w:sz w:val="20"/>
          <w:szCs w:val="20"/>
        </w:rPr>
      </w:pPr>
      <w:r w:rsidRPr="005237DE">
        <w:rPr>
          <w:sz w:val="20"/>
          <w:szCs w:val="20"/>
        </w:rPr>
        <w:t>VPL: valor presente líquido</w:t>
      </w:r>
      <w:r w:rsidR="000F1114">
        <w:rPr>
          <w:sz w:val="20"/>
          <w:szCs w:val="20"/>
        </w:rPr>
        <w:t>; TIR: taxa interna de retorno</w:t>
      </w:r>
    </w:p>
    <w:p w:rsidR="000D626B" w:rsidRDefault="000D626B" w:rsidP="000D626B">
      <w:pPr>
        <w:spacing w:line="240" w:lineRule="auto"/>
        <w:rPr>
          <w:sz w:val="20"/>
          <w:szCs w:val="20"/>
        </w:rPr>
      </w:pPr>
      <w:r w:rsidRPr="005237DE">
        <w:rPr>
          <w:sz w:val="20"/>
          <w:szCs w:val="20"/>
        </w:rPr>
        <w:t xml:space="preserve">Fonte: </w:t>
      </w:r>
      <w:r>
        <w:rPr>
          <w:sz w:val="20"/>
          <w:szCs w:val="20"/>
        </w:rPr>
        <w:t>Resultados da pesquisa</w:t>
      </w:r>
    </w:p>
    <w:p w:rsidR="000D626B" w:rsidRPr="00661D5D" w:rsidRDefault="000D626B" w:rsidP="000D626B">
      <w:pPr>
        <w:spacing w:line="360" w:lineRule="auto"/>
      </w:pPr>
    </w:p>
    <w:p w:rsidR="00C97B88" w:rsidRDefault="00C97B88" w:rsidP="00C97B88">
      <w:pPr>
        <w:spacing w:line="360" w:lineRule="auto"/>
        <w:ind w:firstLine="708"/>
        <w:rPr>
          <w:b/>
        </w:rPr>
      </w:pPr>
    </w:p>
    <w:p w:rsidR="000D626B" w:rsidRDefault="000D626B" w:rsidP="00C97B88">
      <w:pPr>
        <w:spacing w:line="360" w:lineRule="auto"/>
        <w:ind w:firstLine="708"/>
        <w:rPr>
          <w:b/>
        </w:rPr>
      </w:pPr>
      <w:r w:rsidRPr="005D6572">
        <w:rPr>
          <w:b/>
        </w:rPr>
        <w:t>Análise de cenário e sensibilidade</w:t>
      </w:r>
    </w:p>
    <w:p w:rsidR="00603F98" w:rsidRPr="00603F98" w:rsidRDefault="000D626B" w:rsidP="00603F98">
      <w:pPr>
        <w:spacing w:line="360" w:lineRule="auto"/>
      </w:pPr>
      <w:r w:rsidRPr="00661D5D">
        <w:tab/>
      </w:r>
      <w:r w:rsidR="00603F98" w:rsidRPr="00603F98">
        <w:t xml:space="preserve">Como observado, os custos de produção ou mesmo o valor de investimento e impostos foram superiores ao valor recebido pela cana em todos os sistemas de </w:t>
      </w:r>
      <w:r w:rsidR="00603F98" w:rsidRPr="00603F98">
        <w:lastRenderedPageBreak/>
        <w:t xml:space="preserve">produção. Tal resultado está de acordo com levantamento realizado pela CNA e pelo Programa de Educação Continuada em Economia e Gestão de Empresas [PECEGE], no qual as projeções de custos na safra 2014/2015 indicaram que, de forma geral, os custos para produção de cana-de-açúcar seriam superiores aos valores pagos por tonelada, principalmente se a remuneração fosse feita pela quantidade e valor do ATR (CNA/PECEGE, 2014). Contudo, há possibilidades de mudanças positivas neste cenário, com o aumento do rendimento do fornecedor ou proprietário da terra. </w:t>
      </w:r>
    </w:p>
    <w:p w:rsidR="00603F98" w:rsidRPr="00603F98" w:rsidRDefault="00603F98" w:rsidP="00603F98">
      <w:pPr>
        <w:spacing w:line="360" w:lineRule="auto"/>
        <w:rPr>
          <w:color w:val="000000"/>
          <w:shd w:val="clear" w:color="auto" w:fill="FFFFFF"/>
        </w:rPr>
      </w:pPr>
      <w:r w:rsidRPr="00603F98">
        <w:tab/>
        <w:t>No caso do fornecimento “spot”,</w:t>
      </w:r>
      <w:r w:rsidRPr="00603F98">
        <w:rPr>
          <w:i/>
        </w:rPr>
        <w:t xml:space="preserve"> </w:t>
      </w:r>
      <w:r w:rsidRPr="00603F98">
        <w:t>o valor pago por tonelada é negociável, assim como a ta</w:t>
      </w:r>
      <w:r w:rsidR="00427DE2">
        <w:t>xa fixa de toneladas pagas por hectare</w:t>
      </w:r>
      <w:r w:rsidRPr="00603F98">
        <w:t xml:space="preserve"> no arrendamento. Considerando a opção de arrendamento em algumas regiões, como em Catanduva/SP, a taxa fixa pode alcançar 31</w:t>
      </w:r>
      <w:r w:rsidR="00244CFB">
        <w:t xml:space="preserve"> </w:t>
      </w:r>
      <w:r w:rsidRPr="00603F98">
        <w:t>t ha</w:t>
      </w:r>
      <w:r w:rsidRPr="00603F98">
        <w:rPr>
          <w:vertAlign w:val="superscript"/>
        </w:rPr>
        <w:t>-1</w:t>
      </w:r>
      <w:r w:rsidRPr="00603F98">
        <w:t xml:space="preserve"> (IEA, 2012). E</w:t>
      </w:r>
      <w:r w:rsidRPr="00603F98">
        <w:rPr>
          <w:color w:val="000000"/>
          <w:shd w:val="clear" w:color="auto" w:fill="FFFFFF"/>
        </w:rPr>
        <w:t>m 2013, por exemplo, o sistema de arrendamento de terra para a produção de cana-de-açúcar foi considerado o 4º investimento mais rentável (rentabilidade média de 7,6% - Figura 1), perdendo apenas para os fundos cambiais, o dólar e a atividade leiteira (Lima Filho et al., 2014). Neste estudo</w:t>
      </w:r>
      <w:r w:rsidRPr="00603F98">
        <w:t xml:space="preserve"> </w:t>
      </w:r>
      <w:r w:rsidRPr="00603F98">
        <w:rPr>
          <w:color w:val="000000"/>
          <w:shd w:val="clear" w:color="auto" w:fill="FFFFFF"/>
        </w:rPr>
        <w:t>foi utilizado como parâmetro a quantia de 21 t ha</w:t>
      </w:r>
      <w:r w:rsidRPr="00603F98">
        <w:rPr>
          <w:color w:val="000000"/>
          <w:shd w:val="clear" w:color="auto" w:fill="FFFFFF"/>
          <w:vertAlign w:val="superscript"/>
        </w:rPr>
        <w:t>-1</w:t>
      </w:r>
      <w:r w:rsidRPr="00603F98">
        <w:rPr>
          <w:color w:val="000000"/>
          <w:shd w:val="clear" w:color="auto" w:fill="FFFFFF"/>
        </w:rPr>
        <w:t xml:space="preserve"> (Lima Filho et al., 2014).  </w:t>
      </w:r>
    </w:p>
    <w:p w:rsidR="00603F98" w:rsidRPr="00603F98" w:rsidRDefault="00603F98" w:rsidP="00603F98">
      <w:pPr>
        <w:spacing w:line="360" w:lineRule="auto"/>
        <w:rPr>
          <w:color w:val="000000"/>
          <w:shd w:val="clear" w:color="auto" w:fill="FFFFFF"/>
        </w:rPr>
      </w:pPr>
      <w:r w:rsidRPr="00603F98">
        <w:rPr>
          <w:color w:val="000000"/>
          <w:shd w:val="clear" w:color="auto" w:fill="FFFFFF"/>
        </w:rPr>
        <w:t xml:space="preserve"> </w:t>
      </w:r>
      <w:r w:rsidRPr="00603F98">
        <w:rPr>
          <w:noProof/>
          <w:color w:val="000000"/>
          <w:shd w:val="clear" w:color="auto" w:fill="FFFFFF"/>
          <w:lang w:eastAsia="pt-BR"/>
        </w:rPr>
        <w:drawing>
          <wp:inline distT="0" distB="0" distL="0" distR="0">
            <wp:extent cx="5400675" cy="2419350"/>
            <wp:effectExtent l="0" t="0" r="0" b="0"/>
            <wp:docPr id="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3F98" w:rsidRPr="00603F98" w:rsidRDefault="00603F98" w:rsidP="00F44510">
      <w:pPr>
        <w:spacing w:line="240" w:lineRule="auto"/>
        <w:rPr>
          <w:shd w:val="clear" w:color="auto" w:fill="FFFFFF"/>
        </w:rPr>
      </w:pPr>
      <w:r w:rsidRPr="00603F98">
        <w:rPr>
          <w:shd w:val="clear" w:color="auto" w:fill="FFFFFF"/>
        </w:rPr>
        <w:t xml:space="preserve">Figura 1. Rentabilidades médias de arrendamento para cana-de-açúcar </w:t>
      </w:r>
      <w:r w:rsidRPr="00603F98">
        <w:rPr>
          <w:i/>
          <w:shd w:val="clear" w:color="auto" w:fill="FFFFFF"/>
        </w:rPr>
        <w:t>versus</w:t>
      </w:r>
      <w:r w:rsidRPr="00603F98">
        <w:rPr>
          <w:shd w:val="clear" w:color="auto" w:fill="FFFFFF"/>
        </w:rPr>
        <w:t xml:space="preserve"> produção de cana, durante os anos de 20</w:t>
      </w:r>
      <w:r>
        <w:rPr>
          <w:shd w:val="clear" w:color="auto" w:fill="FFFFFF"/>
        </w:rPr>
        <w:t>0</w:t>
      </w:r>
      <w:r w:rsidRPr="00603F98">
        <w:rPr>
          <w:shd w:val="clear" w:color="auto" w:fill="FFFFFF"/>
        </w:rPr>
        <w:t>7 a 2013</w:t>
      </w:r>
    </w:p>
    <w:p w:rsidR="00603F98" w:rsidRPr="00603F98" w:rsidRDefault="00603F98" w:rsidP="00603F98">
      <w:pPr>
        <w:spacing w:line="360" w:lineRule="auto"/>
        <w:rPr>
          <w:sz w:val="20"/>
          <w:shd w:val="clear" w:color="auto" w:fill="FFFFFF"/>
        </w:rPr>
      </w:pPr>
      <w:r w:rsidRPr="00603F98">
        <w:rPr>
          <w:sz w:val="20"/>
          <w:shd w:val="clear" w:color="auto" w:fill="FFFFFF"/>
        </w:rPr>
        <w:t xml:space="preserve">Fonte: </w:t>
      </w:r>
      <w:proofErr w:type="spellStart"/>
      <w:r w:rsidRPr="00603F98">
        <w:rPr>
          <w:sz w:val="20"/>
          <w:shd w:val="clear" w:color="auto" w:fill="FFFFFF"/>
        </w:rPr>
        <w:t>Scot</w:t>
      </w:r>
      <w:proofErr w:type="spellEnd"/>
      <w:r w:rsidRPr="00603F98">
        <w:rPr>
          <w:sz w:val="20"/>
          <w:shd w:val="clear" w:color="auto" w:fill="FFFFFF"/>
        </w:rPr>
        <w:t xml:space="preserve"> Consultoria (2014)</w:t>
      </w:r>
    </w:p>
    <w:p w:rsidR="00603F98" w:rsidRPr="00603F98" w:rsidRDefault="00603F98" w:rsidP="00603F98">
      <w:pPr>
        <w:spacing w:line="360" w:lineRule="auto"/>
      </w:pPr>
    </w:p>
    <w:p w:rsidR="00603F98" w:rsidRPr="00603F98" w:rsidRDefault="00603F98" w:rsidP="00603F98">
      <w:pPr>
        <w:spacing w:line="360" w:lineRule="auto"/>
      </w:pPr>
      <w:r w:rsidRPr="00603F98">
        <w:tab/>
        <w:t xml:space="preserve">O valor da tonelada de cana-de-açúcar paga pelo sistema CONSECANA também pode variar de acordo com o preço do ATR e da qualidade do fornecedor, que pode superar a média utilizada para os cálculos. Dessa forma, foram projetados fluxos de caixa otimistas </w:t>
      </w:r>
      <w:r w:rsidR="00B40A0A">
        <w:t xml:space="preserve">(Tabela 7) </w:t>
      </w:r>
      <w:r w:rsidRPr="00603F98">
        <w:t xml:space="preserve">onde se alteram apenas os valores pagos por tonelada nos sistemas de fornecimento de cana própria e a quantia de toneladas paga no </w:t>
      </w:r>
      <w:r w:rsidRPr="00603F98">
        <w:lastRenderedPageBreak/>
        <w:t>arrendamento, enquanto as demais variáveis permanecem constantes e, então, realizada a análise econômica.</w:t>
      </w:r>
    </w:p>
    <w:p w:rsidR="000D626B" w:rsidRPr="00661D5D" w:rsidRDefault="00603F98" w:rsidP="00603F98">
      <w:pPr>
        <w:spacing w:line="360" w:lineRule="auto"/>
      </w:pPr>
      <w:r w:rsidRPr="00603F98">
        <w:tab/>
        <w:t>No sistema de fornecimento cana "spot" observou-se que com R$ 1,00 a mais por tonelada o projeto já começa a se tornar viável apresentando VPL positivo de R$ 13.485,78 e TIR de 3,62%. Quanto maior o valor negociado, mais atrativo se apresenta o projeto atingindo um VPL positivo de R$ 364.651,46 e TIR de 6,65% caso o valor da tone</w:t>
      </w:r>
      <w:r w:rsidR="00652759">
        <w:t>lada chegue a R$ 50,00 (Tabela 7</w:t>
      </w:r>
      <w:r w:rsidRPr="00603F98">
        <w:t>).</w:t>
      </w:r>
    </w:p>
    <w:p w:rsidR="00EB7790" w:rsidRDefault="00EB7790" w:rsidP="00F44510">
      <w:pPr>
        <w:spacing w:line="240" w:lineRule="auto"/>
      </w:pPr>
    </w:p>
    <w:p w:rsidR="00652759" w:rsidRDefault="00652759" w:rsidP="00F44510">
      <w:pPr>
        <w:spacing w:line="240" w:lineRule="auto"/>
      </w:pPr>
      <w:r>
        <w:t>Tabela 7</w:t>
      </w:r>
      <w:r w:rsidR="000D626B" w:rsidRPr="005237DE">
        <w:t xml:space="preserve">. </w:t>
      </w:r>
      <w:r w:rsidRPr="005237DE">
        <w:t>Análise de sensibilidade</w:t>
      </w:r>
      <w:r>
        <w:t>, considerando cenários mais otimistas, para o f</w:t>
      </w:r>
      <w:r w:rsidRPr="005237DE">
        <w:t>ornecimento de cana "</w:t>
      </w:r>
      <w:r w:rsidRPr="00DD0A13">
        <w:t>spot</w:t>
      </w:r>
      <w:r>
        <w:t>" e “esteira” e arrendamento de terra para produção</w:t>
      </w:r>
      <w:r w:rsidR="00C075D1">
        <w:t xml:space="preserve"> de cana-de-açúcar</w:t>
      </w:r>
    </w:p>
    <w:tbl>
      <w:tblPr>
        <w:tblW w:w="5000" w:type="pct"/>
        <w:tblCellMar>
          <w:left w:w="70" w:type="dxa"/>
          <w:right w:w="70" w:type="dxa"/>
        </w:tblCellMar>
        <w:tblLook w:val="04A0" w:firstRow="1" w:lastRow="0" w:firstColumn="1" w:lastColumn="0" w:noHBand="0" w:noVBand="1"/>
      </w:tblPr>
      <w:tblGrid>
        <w:gridCol w:w="2365"/>
        <w:gridCol w:w="1061"/>
        <w:gridCol w:w="1373"/>
        <w:gridCol w:w="1193"/>
        <w:gridCol w:w="2652"/>
      </w:tblGrid>
      <w:tr w:rsidR="00652759" w:rsidRPr="00652759" w:rsidTr="00652759">
        <w:trPr>
          <w:trHeight w:val="300"/>
        </w:trPr>
        <w:tc>
          <w:tcPr>
            <w:tcW w:w="1368" w:type="pct"/>
            <w:tcBorders>
              <w:top w:val="single" w:sz="8" w:space="0" w:color="auto"/>
              <w:left w:val="nil"/>
              <w:bottom w:val="single" w:sz="8"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Sistema de produção</w:t>
            </w:r>
          </w:p>
        </w:tc>
        <w:tc>
          <w:tcPr>
            <w:tcW w:w="614" w:type="pct"/>
            <w:tcBorders>
              <w:top w:val="single" w:sz="8" w:space="0" w:color="auto"/>
              <w:left w:val="nil"/>
              <w:bottom w:val="single" w:sz="8"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Valor¹</w:t>
            </w:r>
          </w:p>
        </w:tc>
        <w:tc>
          <w:tcPr>
            <w:tcW w:w="794" w:type="pct"/>
            <w:tcBorders>
              <w:top w:val="single" w:sz="8" w:space="0" w:color="auto"/>
              <w:left w:val="nil"/>
              <w:bottom w:val="single" w:sz="8" w:space="0" w:color="auto"/>
              <w:right w:val="nil"/>
            </w:tcBorders>
            <w:shd w:val="clear" w:color="auto" w:fill="auto"/>
            <w:noWrap/>
            <w:vAlign w:val="center"/>
            <w:hideMark/>
          </w:tcPr>
          <w:p w:rsidR="00652759" w:rsidRPr="00652759" w:rsidRDefault="00EB7790" w:rsidP="00F44510">
            <w:pPr>
              <w:spacing w:line="240" w:lineRule="auto"/>
              <w:jc w:val="center"/>
              <w:rPr>
                <w:rFonts w:eastAsia="Times New Roman"/>
                <w:color w:val="000000"/>
                <w:lang w:eastAsia="pt-BR"/>
              </w:rPr>
            </w:pPr>
            <w:r>
              <w:rPr>
                <w:rFonts w:eastAsia="Times New Roman"/>
                <w:color w:val="000000"/>
                <w:lang w:eastAsia="pt-BR"/>
              </w:rPr>
              <w:t>VPL</w:t>
            </w:r>
          </w:p>
        </w:tc>
        <w:tc>
          <w:tcPr>
            <w:tcW w:w="690" w:type="pct"/>
            <w:tcBorders>
              <w:top w:val="single" w:sz="8" w:space="0" w:color="auto"/>
              <w:left w:val="nil"/>
              <w:bottom w:val="single" w:sz="8" w:space="0" w:color="auto"/>
              <w:right w:val="nil"/>
            </w:tcBorders>
            <w:shd w:val="clear" w:color="auto" w:fill="auto"/>
            <w:noWrap/>
            <w:vAlign w:val="center"/>
            <w:hideMark/>
          </w:tcPr>
          <w:p w:rsidR="00652759" w:rsidRPr="00652759" w:rsidRDefault="00FB4698" w:rsidP="00FB4698">
            <w:pPr>
              <w:spacing w:line="240" w:lineRule="auto"/>
              <w:jc w:val="center"/>
              <w:rPr>
                <w:rFonts w:eastAsia="Times New Roman"/>
                <w:color w:val="000000"/>
                <w:lang w:eastAsia="pt-BR"/>
              </w:rPr>
            </w:pPr>
            <w:r>
              <w:rPr>
                <w:rFonts w:eastAsia="Times New Roman"/>
                <w:color w:val="000000"/>
                <w:lang w:eastAsia="pt-BR"/>
              </w:rPr>
              <w:t>TIR</w:t>
            </w:r>
          </w:p>
        </w:tc>
        <w:tc>
          <w:tcPr>
            <w:tcW w:w="1534" w:type="pct"/>
            <w:tcBorders>
              <w:top w:val="single" w:sz="8" w:space="0" w:color="auto"/>
              <w:left w:val="nil"/>
              <w:bottom w:val="single" w:sz="8" w:space="0" w:color="auto"/>
              <w:right w:val="nil"/>
            </w:tcBorders>
            <w:shd w:val="clear" w:color="auto" w:fill="auto"/>
            <w:noWrap/>
            <w:vAlign w:val="center"/>
            <w:hideMark/>
          </w:tcPr>
          <w:p w:rsidR="00652759" w:rsidRPr="00652759" w:rsidRDefault="00FB4698" w:rsidP="00FB4698">
            <w:pPr>
              <w:spacing w:line="240" w:lineRule="auto"/>
              <w:jc w:val="center"/>
              <w:rPr>
                <w:rFonts w:eastAsia="Times New Roman"/>
                <w:color w:val="000000"/>
                <w:lang w:eastAsia="pt-BR"/>
              </w:rPr>
            </w:pPr>
            <w:r>
              <w:rPr>
                <w:rFonts w:eastAsia="Times New Roman"/>
                <w:color w:val="000000"/>
                <w:lang w:eastAsia="pt-BR"/>
              </w:rPr>
              <w:t>“</w:t>
            </w:r>
            <w:proofErr w:type="spellStart"/>
            <w:r>
              <w:rPr>
                <w:rFonts w:eastAsia="Times New Roman"/>
                <w:color w:val="000000"/>
                <w:lang w:eastAsia="pt-BR"/>
              </w:rPr>
              <w:t>Payback</w:t>
            </w:r>
            <w:proofErr w:type="spellEnd"/>
            <w:r>
              <w:rPr>
                <w:rFonts w:eastAsia="Times New Roman"/>
                <w:color w:val="000000"/>
                <w:lang w:eastAsia="pt-BR"/>
              </w:rPr>
              <w:t>” simples</w:t>
            </w:r>
          </w:p>
        </w:tc>
      </w:tr>
      <w:tr w:rsidR="00EB7790" w:rsidRPr="00652759" w:rsidTr="00FB4698">
        <w:trPr>
          <w:trHeight w:val="285"/>
        </w:trPr>
        <w:tc>
          <w:tcPr>
            <w:tcW w:w="1368" w:type="pct"/>
            <w:tcBorders>
              <w:top w:val="nil"/>
              <w:left w:val="nil"/>
              <w:right w:val="nil"/>
            </w:tcBorders>
            <w:shd w:val="clear" w:color="auto" w:fill="auto"/>
            <w:noWrap/>
            <w:vAlign w:val="center"/>
          </w:tcPr>
          <w:p w:rsidR="00EB7790" w:rsidRPr="00652759" w:rsidRDefault="00EB7790" w:rsidP="00F44510">
            <w:pPr>
              <w:spacing w:line="240" w:lineRule="auto"/>
              <w:jc w:val="center"/>
              <w:rPr>
                <w:rFonts w:eastAsia="Times New Roman"/>
                <w:color w:val="000000"/>
                <w:lang w:eastAsia="pt-BR"/>
              </w:rPr>
            </w:pPr>
          </w:p>
        </w:tc>
        <w:tc>
          <w:tcPr>
            <w:tcW w:w="614" w:type="pct"/>
            <w:tcBorders>
              <w:top w:val="nil"/>
              <w:left w:val="nil"/>
              <w:bottom w:val="nil"/>
              <w:right w:val="nil"/>
            </w:tcBorders>
            <w:shd w:val="clear" w:color="auto" w:fill="auto"/>
            <w:vAlign w:val="center"/>
          </w:tcPr>
          <w:p w:rsidR="00EB7790" w:rsidRPr="00652759" w:rsidRDefault="00EB7790" w:rsidP="00F44510">
            <w:pPr>
              <w:spacing w:line="240" w:lineRule="auto"/>
              <w:jc w:val="center"/>
              <w:rPr>
                <w:rFonts w:eastAsia="Times New Roman"/>
                <w:color w:val="000000"/>
                <w:lang w:eastAsia="pt-BR"/>
              </w:rPr>
            </w:pPr>
          </w:p>
        </w:tc>
        <w:tc>
          <w:tcPr>
            <w:tcW w:w="794" w:type="pct"/>
            <w:tcBorders>
              <w:top w:val="nil"/>
              <w:left w:val="nil"/>
              <w:bottom w:val="nil"/>
              <w:right w:val="nil"/>
            </w:tcBorders>
            <w:shd w:val="clear" w:color="auto" w:fill="auto"/>
            <w:noWrap/>
            <w:vAlign w:val="center"/>
          </w:tcPr>
          <w:p w:rsidR="00EB7790" w:rsidRPr="00652759" w:rsidRDefault="00EB7790" w:rsidP="00F44510">
            <w:pPr>
              <w:spacing w:line="240" w:lineRule="auto"/>
              <w:jc w:val="center"/>
              <w:rPr>
                <w:rFonts w:eastAsia="Times New Roman"/>
                <w:color w:val="000000"/>
                <w:lang w:eastAsia="pt-BR"/>
              </w:rPr>
            </w:pPr>
            <w:r>
              <w:rPr>
                <w:rFonts w:eastAsia="Times New Roman"/>
                <w:color w:val="000000"/>
                <w:lang w:eastAsia="pt-BR"/>
              </w:rPr>
              <w:t>--- R$ ----</w:t>
            </w:r>
          </w:p>
        </w:tc>
        <w:tc>
          <w:tcPr>
            <w:tcW w:w="690" w:type="pct"/>
            <w:tcBorders>
              <w:top w:val="nil"/>
              <w:left w:val="nil"/>
              <w:bottom w:val="nil"/>
              <w:right w:val="nil"/>
            </w:tcBorders>
            <w:shd w:val="clear" w:color="auto" w:fill="auto"/>
            <w:noWrap/>
            <w:vAlign w:val="center"/>
          </w:tcPr>
          <w:p w:rsidR="00EB7790" w:rsidRPr="00652759" w:rsidRDefault="00FB4698" w:rsidP="00F44510">
            <w:pPr>
              <w:spacing w:line="240" w:lineRule="auto"/>
              <w:jc w:val="center"/>
              <w:rPr>
                <w:rFonts w:eastAsia="Times New Roman"/>
                <w:color w:val="000000"/>
                <w:lang w:eastAsia="pt-BR"/>
              </w:rPr>
            </w:pPr>
            <w:r>
              <w:rPr>
                <w:rFonts w:eastAsia="Times New Roman"/>
                <w:color w:val="000000"/>
                <w:lang w:eastAsia="pt-BR"/>
              </w:rPr>
              <w:t>---- % ----</w:t>
            </w:r>
          </w:p>
        </w:tc>
        <w:tc>
          <w:tcPr>
            <w:tcW w:w="1534" w:type="pct"/>
            <w:tcBorders>
              <w:top w:val="nil"/>
              <w:left w:val="nil"/>
              <w:bottom w:val="nil"/>
              <w:right w:val="nil"/>
            </w:tcBorders>
            <w:shd w:val="clear" w:color="auto" w:fill="auto"/>
            <w:noWrap/>
            <w:vAlign w:val="center"/>
          </w:tcPr>
          <w:p w:rsidR="00EB7790" w:rsidRPr="00652759" w:rsidRDefault="00FB4698" w:rsidP="00F44510">
            <w:pPr>
              <w:spacing w:line="240" w:lineRule="auto"/>
              <w:jc w:val="center"/>
              <w:rPr>
                <w:rFonts w:eastAsia="Times New Roman"/>
                <w:color w:val="000000"/>
                <w:lang w:eastAsia="pt-BR"/>
              </w:rPr>
            </w:pPr>
            <w:r>
              <w:rPr>
                <w:rFonts w:eastAsia="Times New Roman"/>
                <w:color w:val="000000"/>
                <w:lang w:eastAsia="pt-BR"/>
              </w:rPr>
              <w:t>-------- anos -------</w:t>
            </w:r>
          </w:p>
        </w:tc>
      </w:tr>
      <w:tr w:rsidR="00652759" w:rsidRPr="00652759" w:rsidTr="00FB4698">
        <w:trPr>
          <w:trHeight w:val="285"/>
        </w:trPr>
        <w:tc>
          <w:tcPr>
            <w:tcW w:w="1368" w:type="pct"/>
            <w:vMerge w:val="restart"/>
            <w:tcBorders>
              <w:top w:val="nil"/>
              <w:left w:val="nil"/>
              <w:bottom w:val="single" w:sz="4"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Cana "spot"</w:t>
            </w: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38,00</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-18.438,37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3,34</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4,94</w:t>
            </w:r>
          </w:p>
        </w:tc>
      </w:tr>
      <w:tr w:rsidR="00652759" w:rsidRPr="00652759" w:rsidTr="00FB4698">
        <w:trPr>
          <w:trHeight w:val="285"/>
        </w:trPr>
        <w:tc>
          <w:tcPr>
            <w:tcW w:w="1368" w:type="pct"/>
            <w:vMerge/>
            <w:tcBorders>
              <w:top w:val="nil"/>
              <w:left w:val="nil"/>
              <w:bottom w:val="single" w:sz="4" w:space="0" w:color="auto"/>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39,00 </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13.485,78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3,62</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4,91</w:t>
            </w:r>
          </w:p>
        </w:tc>
      </w:tr>
      <w:tr w:rsidR="00652759" w:rsidRPr="00652759" w:rsidTr="00FB4698">
        <w:trPr>
          <w:trHeight w:val="285"/>
        </w:trPr>
        <w:tc>
          <w:tcPr>
            <w:tcW w:w="1368" w:type="pct"/>
            <w:vMerge/>
            <w:tcBorders>
              <w:top w:val="nil"/>
              <w:left w:val="nil"/>
              <w:bottom w:val="single" w:sz="4" w:space="0" w:color="auto"/>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42,00 </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109.258,24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4,44</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4,84</w:t>
            </w:r>
          </w:p>
        </w:tc>
      </w:tr>
      <w:tr w:rsidR="00652759" w:rsidRPr="00652759" w:rsidTr="00FB4698">
        <w:trPr>
          <w:trHeight w:val="300"/>
        </w:trPr>
        <w:tc>
          <w:tcPr>
            <w:tcW w:w="1368" w:type="pct"/>
            <w:vMerge/>
            <w:tcBorders>
              <w:top w:val="nil"/>
              <w:left w:val="nil"/>
              <w:bottom w:val="single" w:sz="4" w:space="0" w:color="auto"/>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46,00 </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236.954,85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5,54</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4,71</w:t>
            </w:r>
          </w:p>
        </w:tc>
      </w:tr>
      <w:tr w:rsidR="00652759" w:rsidRPr="00652759" w:rsidTr="00FB4698">
        <w:trPr>
          <w:trHeight w:val="285"/>
        </w:trPr>
        <w:tc>
          <w:tcPr>
            <w:tcW w:w="1368" w:type="pct"/>
            <w:vMerge/>
            <w:tcBorders>
              <w:top w:val="nil"/>
              <w:left w:val="nil"/>
              <w:bottom w:val="single" w:sz="4" w:space="0" w:color="auto"/>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single" w:sz="4" w:space="0" w:color="auto"/>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50,00 </w:t>
            </w:r>
          </w:p>
        </w:tc>
        <w:tc>
          <w:tcPr>
            <w:tcW w:w="794" w:type="pct"/>
            <w:tcBorders>
              <w:top w:val="nil"/>
              <w:left w:val="nil"/>
              <w:bottom w:val="single" w:sz="4"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364.651,46 </w:t>
            </w:r>
          </w:p>
        </w:tc>
        <w:tc>
          <w:tcPr>
            <w:tcW w:w="690" w:type="pct"/>
            <w:tcBorders>
              <w:top w:val="nil"/>
              <w:left w:val="nil"/>
              <w:bottom w:val="single" w:sz="4"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6,65</w:t>
            </w:r>
          </w:p>
        </w:tc>
        <w:tc>
          <w:tcPr>
            <w:tcW w:w="1534" w:type="pct"/>
            <w:tcBorders>
              <w:top w:val="nil"/>
              <w:left w:val="nil"/>
              <w:bottom w:val="single" w:sz="4"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4,58</w:t>
            </w:r>
          </w:p>
        </w:tc>
      </w:tr>
      <w:tr w:rsidR="00652759" w:rsidRPr="00652759" w:rsidTr="00FB4698">
        <w:trPr>
          <w:trHeight w:val="285"/>
        </w:trPr>
        <w:tc>
          <w:tcPr>
            <w:tcW w:w="1368" w:type="pct"/>
            <w:vMerge w:val="restart"/>
            <w:tcBorders>
              <w:top w:val="single" w:sz="4" w:space="0" w:color="auto"/>
              <w:left w:val="nil"/>
              <w:bottom w:val="single" w:sz="4" w:space="0" w:color="000000"/>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Cana "esteira"</w:t>
            </w: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61,95</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-310.264,24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0,86</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5,22</w:t>
            </w:r>
          </w:p>
        </w:tc>
      </w:tr>
      <w:tr w:rsidR="00652759" w:rsidRPr="00652759" w:rsidTr="00652759">
        <w:trPr>
          <w:trHeight w:val="285"/>
        </w:trPr>
        <w:tc>
          <w:tcPr>
            <w:tcW w:w="1368" w:type="pct"/>
            <w:vMerge/>
            <w:tcBorders>
              <w:top w:val="nil"/>
              <w:left w:val="nil"/>
              <w:bottom w:val="single" w:sz="4" w:space="0" w:color="000000"/>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64,99 </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-213.137,49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1,68</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5,15</w:t>
            </w:r>
          </w:p>
        </w:tc>
      </w:tr>
      <w:tr w:rsidR="00652759" w:rsidRPr="00652759" w:rsidTr="00652759">
        <w:trPr>
          <w:trHeight w:val="285"/>
        </w:trPr>
        <w:tc>
          <w:tcPr>
            <w:tcW w:w="1368" w:type="pct"/>
            <w:vMerge/>
            <w:tcBorders>
              <w:top w:val="nil"/>
              <w:left w:val="nil"/>
              <w:bottom w:val="single" w:sz="4" w:space="0" w:color="000000"/>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68,31 </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-107.149,30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2,58</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5,05</w:t>
            </w:r>
          </w:p>
        </w:tc>
      </w:tr>
      <w:tr w:rsidR="00652759" w:rsidRPr="00652759" w:rsidTr="00652759">
        <w:trPr>
          <w:trHeight w:val="285"/>
        </w:trPr>
        <w:tc>
          <w:tcPr>
            <w:tcW w:w="1368" w:type="pct"/>
            <w:vMerge/>
            <w:tcBorders>
              <w:top w:val="nil"/>
              <w:left w:val="nil"/>
              <w:bottom w:val="single" w:sz="4" w:space="0" w:color="000000"/>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71,79 </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4.010,59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3,53</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4,94</w:t>
            </w:r>
          </w:p>
        </w:tc>
      </w:tr>
      <w:tr w:rsidR="00652759" w:rsidRPr="00652759" w:rsidTr="00652759">
        <w:trPr>
          <w:trHeight w:val="285"/>
        </w:trPr>
        <w:tc>
          <w:tcPr>
            <w:tcW w:w="1368" w:type="pct"/>
            <w:vMerge/>
            <w:tcBorders>
              <w:top w:val="nil"/>
              <w:left w:val="nil"/>
              <w:bottom w:val="single" w:sz="4" w:space="0" w:color="000000"/>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single" w:sz="4" w:space="0" w:color="auto"/>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72,93 </w:t>
            </w:r>
          </w:p>
        </w:tc>
        <w:tc>
          <w:tcPr>
            <w:tcW w:w="794" w:type="pct"/>
            <w:tcBorders>
              <w:top w:val="nil"/>
              <w:left w:val="nil"/>
              <w:bottom w:val="single" w:sz="4"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40.340,28 </w:t>
            </w:r>
          </w:p>
        </w:tc>
        <w:tc>
          <w:tcPr>
            <w:tcW w:w="690" w:type="pct"/>
            <w:tcBorders>
              <w:top w:val="nil"/>
              <w:left w:val="nil"/>
              <w:bottom w:val="single" w:sz="4"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3,85</w:t>
            </w:r>
          </w:p>
        </w:tc>
        <w:tc>
          <w:tcPr>
            <w:tcW w:w="1534" w:type="pct"/>
            <w:tcBorders>
              <w:top w:val="nil"/>
              <w:left w:val="nil"/>
              <w:bottom w:val="single" w:sz="4"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4,91</w:t>
            </w:r>
          </w:p>
        </w:tc>
      </w:tr>
      <w:tr w:rsidR="00652759" w:rsidRPr="00652759" w:rsidTr="00652759">
        <w:trPr>
          <w:trHeight w:val="285"/>
        </w:trPr>
        <w:tc>
          <w:tcPr>
            <w:tcW w:w="1368" w:type="pct"/>
            <w:vMerge w:val="restart"/>
            <w:tcBorders>
              <w:top w:val="nil"/>
              <w:left w:val="nil"/>
              <w:bottom w:val="single" w:sz="8" w:space="0" w:color="000000"/>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Arrendamento</w:t>
            </w: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15,70 </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-54.076,65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2,98</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4,80</w:t>
            </w:r>
          </w:p>
        </w:tc>
      </w:tr>
      <w:tr w:rsidR="00652759" w:rsidRPr="00652759" w:rsidTr="00652759">
        <w:trPr>
          <w:trHeight w:val="285"/>
        </w:trPr>
        <w:tc>
          <w:tcPr>
            <w:tcW w:w="1368" w:type="pct"/>
            <w:vMerge/>
            <w:tcBorders>
              <w:top w:val="nil"/>
              <w:left w:val="nil"/>
              <w:bottom w:val="single" w:sz="8" w:space="0" w:color="000000"/>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17,4</w:t>
            </w:r>
            <w:r>
              <w:rPr>
                <w:rFonts w:eastAsia="Times New Roman"/>
                <w:color w:val="000000"/>
                <w:lang w:eastAsia="pt-BR"/>
              </w:rPr>
              <w:t>0</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-20.392,56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3,30</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5,46</w:t>
            </w:r>
          </w:p>
        </w:tc>
      </w:tr>
      <w:tr w:rsidR="00652759" w:rsidRPr="00652759" w:rsidTr="00652759">
        <w:trPr>
          <w:trHeight w:val="285"/>
        </w:trPr>
        <w:tc>
          <w:tcPr>
            <w:tcW w:w="1368" w:type="pct"/>
            <w:vMerge/>
            <w:tcBorders>
              <w:top w:val="nil"/>
              <w:left w:val="nil"/>
              <w:bottom w:val="single" w:sz="8" w:space="0" w:color="000000"/>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18,7</w:t>
            </w:r>
            <w:r>
              <w:rPr>
                <w:rFonts w:eastAsia="Times New Roman"/>
                <w:color w:val="000000"/>
                <w:lang w:eastAsia="pt-BR"/>
              </w:rPr>
              <w:t>0</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5.365,86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3,55</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5,44</w:t>
            </w:r>
          </w:p>
        </w:tc>
      </w:tr>
      <w:tr w:rsidR="00652759" w:rsidRPr="00652759" w:rsidTr="00652759">
        <w:trPr>
          <w:trHeight w:val="285"/>
        </w:trPr>
        <w:tc>
          <w:tcPr>
            <w:tcW w:w="1368" w:type="pct"/>
            <w:vMerge/>
            <w:tcBorders>
              <w:top w:val="nil"/>
              <w:left w:val="nil"/>
              <w:bottom w:val="single" w:sz="8" w:space="0" w:color="000000"/>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nil"/>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20,66 </w:t>
            </w:r>
          </w:p>
        </w:tc>
        <w:tc>
          <w:tcPr>
            <w:tcW w:w="79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44.201,63 </w:t>
            </w:r>
          </w:p>
        </w:tc>
        <w:tc>
          <w:tcPr>
            <w:tcW w:w="690"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3,92</w:t>
            </w:r>
          </w:p>
        </w:tc>
        <w:tc>
          <w:tcPr>
            <w:tcW w:w="1534" w:type="pct"/>
            <w:tcBorders>
              <w:top w:val="nil"/>
              <w:left w:val="nil"/>
              <w:bottom w:val="nil"/>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5,41</w:t>
            </w:r>
          </w:p>
        </w:tc>
      </w:tr>
      <w:tr w:rsidR="00652759" w:rsidRPr="00652759" w:rsidTr="00652759">
        <w:trPr>
          <w:trHeight w:val="300"/>
        </w:trPr>
        <w:tc>
          <w:tcPr>
            <w:tcW w:w="1368" w:type="pct"/>
            <w:vMerge/>
            <w:tcBorders>
              <w:top w:val="nil"/>
              <w:left w:val="nil"/>
              <w:bottom w:val="single" w:sz="8" w:space="0" w:color="000000"/>
              <w:right w:val="nil"/>
            </w:tcBorders>
            <w:vAlign w:val="center"/>
            <w:hideMark/>
          </w:tcPr>
          <w:p w:rsidR="00652759" w:rsidRPr="00652759" w:rsidRDefault="00652759" w:rsidP="00F44510">
            <w:pPr>
              <w:spacing w:line="240" w:lineRule="auto"/>
              <w:jc w:val="left"/>
              <w:rPr>
                <w:rFonts w:eastAsia="Times New Roman"/>
                <w:color w:val="000000"/>
                <w:lang w:eastAsia="pt-BR"/>
              </w:rPr>
            </w:pPr>
          </w:p>
        </w:tc>
        <w:tc>
          <w:tcPr>
            <w:tcW w:w="614" w:type="pct"/>
            <w:tcBorders>
              <w:top w:val="nil"/>
              <w:left w:val="nil"/>
              <w:bottom w:val="single" w:sz="8" w:space="0" w:color="auto"/>
              <w:right w:val="nil"/>
            </w:tcBorders>
            <w:shd w:val="clear" w:color="auto" w:fill="auto"/>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22,73 </w:t>
            </w:r>
          </w:p>
        </w:tc>
        <w:tc>
          <w:tcPr>
            <w:tcW w:w="794" w:type="pct"/>
            <w:tcBorders>
              <w:top w:val="nil"/>
              <w:left w:val="nil"/>
              <w:bottom w:val="single" w:sz="8"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 xml:space="preserve">85.162,92 </w:t>
            </w:r>
          </w:p>
        </w:tc>
        <w:tc>
          <w:tcPr>
            <w:tcW w:w="690" w:type="pct"/>
            <w:tcBorders>
              <w:top w:val="nil"/>
              <w:left w:val="nil"/>
              <w:bottom w:val="single" w:sz="8"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4,32</w:t>
            </w:r>
          </w:p>
        </w:tc>
        <w:tc>
          <w:tcPr>
            <w:tcW w:w="1534" w:type="pct"/>
            <w:tcBorders>
              <w:top w:val="nil"/>
              <w:left w:val="nil"/>
              <w:bottom w:val="single" w:sz="8" w:space="0" w:color="auto"/>
              <w:right w:val="nil"/>
            </w:tcBorders>
            <w:shd w:val="clear" w:color="auto" w:fill="auto"/>
            <w:noWrap/>
            <w:vAlign w:val="center"/>
            <w:hideMark/>
          </w:tcPr>
          <w:p w:rsidR="00652759" w:rsidRPr="00652759" w:rsidRDefault="00652759" w:rsidP="00F44510">
            <w:pPr>
              <w:spacing w:line="240" w:lineRule="auto"/>
              <w:jc w:val="center"/>
              <w:rPr>
                <w:rFonts w:eastAsia="Times New Roman"/>
                <w:color w:val="000000"/>
                <w:lang w:eastAsia="pt-BR"/>
              </w:rPr>
            </w:pPr>
            <w:r w:rsidRPr="00652759">
              <w:rPr>
                <w:rFonts w:eastAsia="Times New Roman"/>
                <w:color w:val="000000"/>
                <w:lang w:eastAsia="pt-BR"/>
              </w:rPr>
              <w:t>5,37</w:t>
            </w:r>
          </w:p>
        </w:tc>
      </w:tr>
    </w:tbl>
    <w:p w:rsidR="00652759" w:rsidRPr="00C075D1" w:rsidRDefault="00C075D1" w:rsidP="00FB4698">
      <w:pPr>
        <w:spacing w:line="240" w:lineRule="auto"/>
        <w:rPr>
          <w:sz w:val="20"/>
          <w:szCs w:val="20"/>
        </w:rPr>
      </w:pPr>
      <w:r w:rsidRPr="00C075D1">
        <w:rPr>
          <w:sz w:val="20"/>
          <w:szCs w:val="20"/>
          <w:vertAlign w:val="superscript"/>
        </w:rPr>
        <w:t>1</w:t>
      </w:r>
      <w:r w:rsidR="00B84810">
        <w:rPr>
          <w:sz w:val="20"/>
          <w:szCs w:val="20"/>
        </w:rPr>
        <w:t>valor pago (</w:t>
      </w:r>
      <w:r w:rsidR="00652759" w:rsidRPr="00C075D1">
        <w:rPr>
          <w:rFonts w:eastAsia="Times New Roman"/>
          <w:sz w:val="20"/>
          <w:szCs w:val="20"/>
          <w:lang w:eastAsia="pt-BR"/>
        </w:rPr>
        <w:t>R$ t</w:t>
      </w:r>
      <w:r w:rsidR="00652759" w:rsidRPr="00C075D1">
        <w:rPr>
          <w:rFonts w:eastAsia="Times New Roman"/>
          <w:sz w:val="20"/>
          <w:szCs w:val="20"/>
          <w:vertAlign w:val="superscript"/>
          <w:lang w:eastAsia="pt-BR"/>
        </w:rPr>
        <w:t>-1</w:t>
      </w:r>
      <w:r w:rsidR="00B84810">
        <w:rPr>
          <w:rFonts w:eastAsia="Times New Roman"/>
          <w:sz w:val="20"/>
          <w:szCs w:val="20"/>
          <w:lang w:eastAsia="pt-BR"/>
        </w:rPr>
        <w:t xml:space="preserve">) pela </w:t>
      </w:r>
      <w:r w:rsidR="00652759" w:rsidRPr="00C075D1">
        <w:rPr>
          <w:rFonts w:eastAsia="Times New Roman"/>
          <w:sz w:val="20"/>
          <w:szCs w:val="20"/>
          <w:lang w:eastAsia="pt-BR"/>
        </w:rPr>
        <w:t>cana-de-açúcar</w:t>
      </w:r>
      <w:r w:rsidR="00652759" w:rsidRPr="00C075D1">
        <w:rPr>
          <w:sz w:val="20"/>
          <w:szCs w:val="20"/>
        </w:rPr>
        <w:t xml:space="preserve"> para o fornecimento de cana “spot” ou “esteira”</w:t>
      </w:r>
      <w:r>
        <w:rPr>
          <w:sz w:val="20"/>
          <w:szCs w:val="20"/>
        </w:rPr>
        <w:t>,</w:t>
      </w:r>
      <w:r w:rsidR="00652759" w:rsidRPr="00C075D1">
        <w:rPr>
          <w:sz w:val="20"/>
          <w:szCs w:val="20"/>
        </w:rPr>
        <w:t xml:space="preserve"> </w:t>
      </w:r>
      <w:r w:rsidRPr="00C075D1">
        <w:rPr>
          <w:sz w:val="20"/>
          <w:szCs w:val="20"/>
        </w:rPr>
        <w:t xml:space="preserve">e </w:t>
      </w:r>
      <w:r w:rsidR="00B84810">
        <w:rPr>
          <w:sz w:val="20"/>
          <w:szCs w:val="20"/>
        </w:rPr>
        <w:t>produtividade (</w:t>
      </w:r>
      <w:r w:rsidRPr="00C075D1">
        <w:rPr>
          <w:sz w:val="20"/>
          <w:szCs w:val="20"/>
        </w:rPr>
        <w:t>t ha</w:t>
      </w:r>
      <w:r w:rsidRPr="00C075D1">
        <w:rPr>
          <w:sz w:val="20"/>
          <w:szCs w:val="20"/>
          <w:vertAlign w:val="superscript"/>
        </w:rPr>
        <w:t>-1</w:t>
      </w:r>
      <w:r w:rsidR="00B84810">
        <w:rPr>
          <w:sz w:val="20"/>
          <w:szCs w:val="20"/>
        </w:rPr>
        <w:t xml:space="preserve">) </w:t>
      </w:r>
      <w:r w:rsidRPr="00C075D1">
        <w:rPr>
          <w:sz w:val="20"/>
          <w:szCs w:val="20"/>
        </w:rPr>
        <w:t xml:space="preserve">de cana de-açúcar </w:t>
      </w:r>
      <w:r>
        <w:rPr>
          <w:sz w:val="20"/>
          <w:szCs w:val="20"/>
        </w:rPr>
        <w:t xml:space="preserve">para </w:t>
      </w:r>
      <w:r w:rsidR="00B84810">
        <w:rPr>
          <w:sz w:val="20"/>
          <w:szCs w:val="20"/>
        </w:rPr>
        <w:t xml:space="preserve">o sistema de </w:t>
      </w:r>
      <w:r>
        <w:rPr>
          <w:sz w:val="20"/>
          <w:szCs w:val="20"/>
        </w:rPr>
        <w:t>arrendamento.</w:t>
      </w:r>
    </w:p>
    <w:p w:rsidR="00652759" w:rsidRPr="00C075D1" w:rsidRDefault="00C075D1" w:rsidP="00FB4698">
      <w:pPr>
        <w:spacing w:line="240" w:lineRule="auto"/>
        <w:rPr>
          <w:sz w:val="20"/>
          <w:szCs w:val="20"/>
        </w:rPr>
      </w:pPr>
      <w:r w:rsidRPr="00C075D1">
        <w:rPr>
          <w:sz w:val="20"/>
          <w:szCs w:val="20"/>
        </w:rPr>
        <w:t xml:space="preserve">VPL: valor presente líquido; </w:t>
      </w:r>
      <w:r w:rsidR="00652759" w:rsidRPr="00C075D1">
        <w:rPr>
          <w:sz w:val="20"/>
          <w:szCs w:val="20"/>
        </w:rPr>
        <w:t xml:space="preserve">TIR: taxa interna de retorno. </w:t>
      </w:r>
    </w:p>
    <w:p w:rsidR="000D626B" w:rsidRPr="00C075D1" w:rsidRDefault="00652759" w:rsidP="00FB4698">
      <w:pPr>
        <w:spacing w:line="240" w:lineRule="auto"/>
        <w:rPr>
          <w:sz w:val="20"/>
          <w:szCs w:val="20"/>
        </w:rPr>
      </w:pPr>
      <w:r w:rsidRPr="00C075D1">
        <w:rPr>
          <w:sz w:val="20"/>
          <w:szCs w:val="20"/>
        </w:rPr>
        <w:t>Fonte: Resultados da pesquisa</w:t>
      </w:r>
    </w:p>
    <w:p w:rsidR="00652759" w:rsidRPr="00652759" w:rsidRDefault="00652759" w:rsidP="000D626B">
      <w:pPr>
        <w:spacing w:line="360" w:lineRule="auto"/>
      </w:pPr>
    </w:p>
    <w:p w:rsidR="000D626B" w:rsidRPr="00661D5D" w:rsidRDefault="000D626B" w:rsidP="000D626B">
      <w:pPr>
        <w:spacing w:line="360" w:lineRule="auto"/>
      </w:pPr>
      <w:r w:rsidRPr="00661D5D">
        <w:tab/>
        <w:t>Por outro lado, o fornecimento de cana na esteira não se mostra atrativo pelo método do CONSECANA, pois o projeto só começa a apresentar VPL positivo quando o valor da tonelada c</w:t>
      </w:r>
      <w:r w:rsidR="00652759">
        <w:t xml:space="preserve">hega a aproximadamente R$ 72,00. </w:t>
      </w:r>
      <w:r w:rsidRPr="00661D5D">
        <w:t>Além disso, mesmo com VPL e TIR apresentando resultados positivos, os valores são bem inferiores ao fornecimento "</w:t>
      </w:r>
      <w:r w:rsidRPr="00D26D83">
        <w:t>spot</w:t>
      </w:r>
      <w:r w:rsidRPr="00661D5D">
        <w:t>". Pode ser notado que a "cana esteira" começa a ser mais atrativa quando o valor da tonelada se aproxima de R$ 73,00, o que exigiria uma realidade mu</w:t>
      </w:r>
      <w:r w:rsidR="00652759">
        <w:t>ito otimista em relação a atual.</w:t>
      </w:r>
    </w:p>
    <w:p w:rsidR="000D626B" w:rsidRDefault="000D626B" w:rsidP="000D626B">
      <w:pPr>
        <w:spacing w:line="360" w:lineRule="auto"/>
      </w:pPr>
      <w:r w:rsidRPr="00661D5D">
        <w:tab/>
        <w:t xml:space="preserve">O sistema de arrendamento começa a ser viável quando a produtividade </w:t>
      </w:r>
      <w:r>
        <w:t>alcança aproximadamente 18,70 t ha</w:t>
      </w:r>
      <w:r w:rsidRPr="00DD0A13">
        <w:rPr>
          <w:vertAlign w:val="superscript"/>
        </w:rPr>
        <w:t>-1</w:t>
      </w:r>
      <w:r w:rsidRPr="00661D5D">
        <w:t xml:space="preserve">, resultando em VPL positivo equivalente a R$ </w:t>
      </w:r>
      <w:r w:rsidRPr="00661D5D">
        <w:lastRenderedPageBreak/>
        <w:t xml:space="preserve">5.365,85 e TIR em 3,55%. Quanto maior a produtividade, mais otimista os resultados. Assim, se o proprietário alcançar </w:t>
      </w:r>
      <w:r>
        <w:t>22,73 t ha</w:t>
      </w:r>
      <w:r w:rsidRPr="00DD0A13">
        <w:rPr>
          <w:vertAlign w:val="superscript"/>
        </w:rPr>
        <w:t>-1</w:t>
      </w:r>
      <w:r w:rsidRPr="00661D5D">
        <w:t>, o VPL c</w:t>
      </w:r>
      <w:r w:rsidR="00652759">
        <w:t xml:space="preserve">hegará a R$ 85.162,91. </w:t>
      </w:r>
      <w:r w:rsidRPr="00661D5D">
        <w:t xml:space="preserve">Fica claro que a viabilidade dos projetos </w:t>
      </w:r>
      <w:r>
        <w:t>foi</w:t>
      </w:r>
      <w:r w:rsidRPr="00661D5D">
        <w:t xml:space="preserve"> influenciada pelo valor da tonelada no sistema de fornecimento, e pela quantia fixa de t</w:t>
      </w:r>
      <w:r w:rsidR="007773CA">
        <w:t xml:space="preserve"> ha</w:t>
      </w:r>
      <w:r w:rsidR="007773CA" w:rsidRPr="00246B32">
        <w:rPr>
          <w:vertAlign w:val="superscript"/>
        </w:rPr>
        <w:t>-1</w:t>
      </w:r>
      <w:r w:rsidR="00246B32">
        <w:rPr>
          <w:vertAlign w:val="superscript"/>
        </w:rPr>
        <w:t xml:space="preserve"> </w:t>
      </w:r>
      <w:r w:rsidRPr="00661D5D">
        <w:t>no arrendamento; pois quanto maior forem essas variáveis, mais at</w:t>
      </w:r>
      <w:r w:rsidR="00652759">
        <w:t xml:space="preserve">rativo torna-se o projeto. </w:t>
      </w:r>
      <w:r w:rsidRPr="00661D5D">
        <w:t xml:space="preserve">Baseado nos resultados da análise realizada, pode-se afirmar que o sistema de fornecimento “cana </w:t>
      </w:r>
      <w:r w:rsidRPr="00DD0A13">
        <w:t>spot”</w:t>
      </w:r>
      <w:r w:rsidRPr="00661D5D">
        <w:t xml:space="preserve"> é o mais atrativo economicamente, seguido do sistema de arrendamento, enquanto o fornecimento "cana esteira" não apresentou resultados otimistas, visto que os indicadores só foram positivos em cenários muito distantes da realidade (Figura </w:t>
      </w:r>
      <w:r>
        <w:t>2</w:t>
      </w:r>
      <w:r w:rsidRPr="00661D5D">
        <w:t xml:space="preserve">). </w:t>
      </w:r>
    </w:p>
    <w:p w:rsidR="000D626B" w:rsidRPr="00661D5D" w:rsidRDefault="000D626B" w:rsidP="000D626B">
      <w:pPr>
        <w:spacing w:line="360" w:lineRule="auto"/>
      </w:pPr>
    </w:p>
    <w:p w:rsidR="000D626B" w:rsidRDefault="000D626B" w:rsidP="000D626B">
      <w:pPr>
        <w:spacing w:after="240" w:line="240" w:lineRule="auto"/>
      </w:pPr>
      <w:r w:rsidRPr="002E6C17">
        <w:rPr>
          <w:noProof/>
          <w:lang w:eastAsia="pt-BR"/>
        </w:rPr>
        <w:drawing>
          <wp:inline distT="0" distB="0" distL="0" distR="0">
            <wp:extent cx="5290820" cy="3051774"/>
            <wp:effectExtent l="0" t="0" r="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626B" w:rsidRPr="005D6572" w:rsidRDefault="000D626B" w:rsidP="00F44510">
      <w:pPr>
        <w:spacing w:line="240" w:lineRule="auto"/>
        <w:rPr>
          <w:szCs w:val="20"/>
          <w:shd w:val="clear" w:color="auto" w:fill="FFFFFF"/>
        </w:rPr>
      </w:pPr>
      <w:r w:rsidRPr="005D6572">
        <w:rPr>
          <w:szCs w:val="20"/>
          <w:shd w:val="clear" w:color="auto" w:fill="FFFFFF"/>
        </w:rPr>
        <w:t>Figura 2. Comparativo de rentabilidade</w:t>
      </w:r>
      <w:r w:rsidR="007773CA">
        <w:rPr>
          <w:szCs w:val="20"/>
          <w:shd w:val="clear" w:color="auto" w:fill="FFFFFF"/>
        </w:rPr>
        <w:t>, b</w:t>
      </w:r>
      <w:r w:rsidR="00B84810">
        <w:rPr>
          <w:szCs w:val="20"/>
          <w:shd w:val="clear" w:color="auto" w:fill="FFFFFF"/>
        </w:rPr>
        <w:t>aseados nos resultados da a</w:t>
      </w:r>
      <w:r w:rsidRPr="005D6572">
        <w:rPr>
          <w:szCs w:val="20"/>
          <w:shd w:val="clear" w:color="auto" w:fill="FFFFFF"/>
        </w:rPr>
        <w:t>nálise de sensibilidade</w:t>
      </w:r>
    </w:p>
    <w:p w:rsidR="000D626B" w:rsidRDefault="000D626B" w:rsidP="00F44510">
      <w:pPr>
        <w:spacing w:line="240" w:lineRule="auto"/>
        <w:rPr>
          <w:color w:val="000000"/>
          <w:sz w:val="20"/>
          <w:szCs w:val="20"/>
          <w:shd w:val="clear" w:color="auto" w:fill="FFFFFF"/>
        </w:rPr>
      </w:pPr>
      <w:r w:rsidRPr="00F71CBE">
        <w:rPr>
          <w:color w:val="000000"/>
          <w:sz w:val="20"/>
          <w:szCs w:val="20"/>
          <w:shd w:val="clear" w:color="auto" w:fill="FFFFFF"/>
        </w:rPr>
        <w:t xml:space="preserve">Fonte: </w:t>
      </w:r>
      <w:r>
        <w:rPr>
          <w:sz w:val="20"/>
          <w:szCs w:val="20"/>
        </w:rPr>
        <w:t>Resultados da</w:t>
      </w:r>
      <w:r w:rsidRPr="005237DE">
        <w:rPr>
          <w:sz w:val="20"/>
          <w:szCs w:val="20"/>
        </w:rPr>
        <w:t xml:space="preserve"> pesquisa</w:t>
      </w:r>
    </w:p>
    <w:p w:rsidR="000D626B" w:rsidRDefault="000D626B" w:rsidP="000D626B">
      <w:pPr>
        <w:spacing w:line="360" w:lineRule="auto"/>
        <w:rPr>
          <w:color w:val="000000"/>
          <w:shd w:val="clear" w:color="auto" w:fill="FFFFFF"/>
        </w:rPr>
      </w:pPr>
    </w:p>
    <w:p w:rsidR="000D626B" w:rsidRDefault="000D626B" w:rsidP="000D626B">
      <w:pPr>
        <w:spacing w:line="360" w:lineRule="auto"/>
        <w:rPr>
          <w:color w:val="000000"/>
          <w:shd w:val="clear" w:color="auto" w:fill="FFFFFF"/>
        </w:rPr>
      </w:pPr>
      <w:r>
        <w:rPr>
          <w:color w:val="000000"/>
          <w:shd w:val="clear" w:color="auto" w:fill="FFFFFF"/>
        </w:rPr>
        <w:tab/>
        <w:t>Apesar dos resultados otimistas, o fornecimento de cana "</w:t>
      </w:r>
      <w:r w:rsidRPr="000675A2">
        <w:rPr>
          <w:color w:val="000000"/>
          <w:shd w:val="clear" w:color="auto" w:fill="FFFFFF"/>
        </w:rPr>
        <w:t>spot"</w:t>
      </w:r>
      <w:r>
        <w:rPr>
          <w:color w:val="000000"/>
          <w:shd w:val="clear" w:color="auto" w:fill="FFFFFF"/>
        </w:rPr>
        <w:t xml:space="preserve"> obteve aspectos negativos, pois o fornecedor está exposto aos riscos inerentes à atividade agrícola, e ainda tem de negociar a venda da cana em todas as safras, diferente das modalidades com contrato. Assim, sujeita-se a não conseguir bons preços em alguma safra ou mesmo a não vender a cana, dependendo da lei de oferta e procura. Pode ser considerada boa opção para fornecedores que não tem o cultivo da cana como sua única fonte de renda, por exemplo.</w:t>
      </w:r>
    </w:p>
    <w:p w:rsidR="000D626B" w:rsidRDefault="000D626B" w:rsidP="000D626B">
      <w:pPr>
        <w:spacing w:line="360" w:lineRule="auto"/>
        <w:rPr>
          <w:color w:val="000000"/>
          <w:shd w:val="clear" w:color="auto" w:fill="FFFFFF"/>
        </w:rPr>
      </w:pPr>
      <w:r>
        <w:rPr>
          <w:color w:val="000000"/>
          <w:shd w:val="clear" w:color="auto" w:fill="FFFFFF"/>
        </w:rPr>
        <w:tab/>
        <w:t xml:space="preserve">Considerando os baixos riscos, quando comparado as demais modalidades, o arrendamento pode ser a opção mais atrativa, visto que o proprietário não é </w:t>
      </w:r>
      <w:r>
        <w:rPr>
          <w:color w:val="000000"/>
          <w:shd w:val="clear" w:color="auto" w:fill="FFFFFF"/>
        </w:rPr>
        <w:lastRenderedPageBreak/>
        <w:t>responsável pelos possíveis prejuízos devido as intempéries envolvidas na atividade e, ainda assim, pode obter bons resultados econômicos. Deste modo, esse estudo pode ser usado como parâmetro para a tomada de decisão pelo fornecedor, mas cada caso deve ser analisado de acordo com suas condições peculiares, tais como produtividade, tamanho da área, distância da usina, entre outros fatores que podem interferir no resultado.</w:t>
      </w:r>
    </w:p>
    <w:p w:rsidR="00C92BE9" w:rsidRDefault="00C92BE9" w:rsidP="000D626B">
      <w:pPr>
        <w:spacing w:line="360" w:lineRule="auto"/>
        <w:rPr>
          <w:color w:val="000000"/>
          <w:shd w:val="clear" w:color="auto" w:fill="FFFFFF"/>
        </w:rPr>
      </w:pPr>
    </w:p>
    <w:p w:rsidR="00C92BE9" w:rsidRDefault="000D626B" w:rsidP="00AC004F">
      <w:pPr>
        <w:spacing w:line="360" w:lineRule="auto"/>
        <w:ind w:firstLine="708"/>
        <w:rPr>
          <w:b/>
          <w:shd w:val="clear" w:color="auto" w:fill="FFFFFF"/>
        </w:rPr>
      </w:pPr>
      <w:r w:rsidRPr="005D6572">
        <w:rPr>
          <w:b/>
          <w:shd w:val="clear" w:color="auto" w:fill="FFFFFF"/>
        </w:rPr>
        <w:t>Custo de oportunidade</w:t>
      </w:r>
    </w:p>
    <w:p w:rsidR="000D626B" w:rsidRPr="00B15FD9" w:rsidRDefault="000D626B" w:rsidP="000D626B">
      <w:pPr>
        <w:spacing w:line="360" w:lineRule="auto"/>
        <w:rPr>
          <w:shd w:val="clear" w:color="auto" w:fill="FFFFFF"/>
        </w:rPr>
      </w:pPr>
      <w:r w:rsidRPr="00B15FD9">
        <w:rPr>
          <w:shd w:val="clear" w:color="auto" w:fill="FFFFFF"/>
        </w:rPr>
        <w:tab/>
        <w:t xml:space="preserve"> O custo de oportunidade pode ser aplicado em diferentes fases do processo decisório, como no planejamento e deliberações de investimento; entretanto, existem divergências no que concerne à sua inserção no fluxo de caixa (Goulart, 2002). Por se tratar de custo implícito (ou seja, que não envolve desembolso), ele é desconsiderado pela contabilidade. No entanto, do ponto de vista econômico, assume-se ainda como custo a receita em potencial que não foi obtida pelo investidor em projetos alternativos ao inicialmente selecionado (Goulart, 2002). </w:t>
      </w:r>
    </w:p>
    <w:p w:rsidR="000D626B" w:rsidRPr="00B15FD9" w:rsidRDefault="000D626B" w:rsidP="000D626B">
      <w:pPr>
        <w:spacing w:line="360" w:lineRule="auto"/>
        <w:rPr>
          <w:shd w:val="clear" w:color="auto" w:fill="FFFFFF"/>
        </w:rPr>
      </w:pPr>
      <w:r w:rsidRPr="00B15FD9">
        <w:rPr>
          <w:shd w:val="clear" w:color="auto" w:fill="FFFFFF"/>
        </w:rPr>
        <w:tab/>
        <w:t>Portanto, na ciência econômica, o custo de oportunidade surge da escolha entre duas ou mais alternativas mutuamente excludentes. Caso a alternativa de menor rendimento seja selecionada, o custo de oportunidade é aquilo que se deixou de ganhar</w:t>
      </w:r>
      <w:r w:rsidRPr="00D35F3D">
        <w:rPr>
          <w:shd w:val="clear" w:color="auto" w:fill="FFFFFF"/>
        </w:rPr>
        <w:t xml:space="preserve">; contudo, se a opção escolhida for a mais vantajosa, não há custo de oportunidade (Goulart, 2002; </w:t>
      </w:r>
      <w:proofErr w:type="spellStart"/>
      <w:r w:rsidRPr="00D35F3D">
        <w:rPr>
          <w:shd w:val="clear" w:color="auto" w:fill="FFFFFF"/>
        </w:rPr>
        <w:t>Zago</w:t>
      </w:r>
      <w:proofErr w:type="spellEnd"/>
      <w:r>
        <w:rPr>
          <w:shd w:val="clear" w:color="auto" w:fill="FFFFFF"/>
        </w:rPr>
        <w:t xml:space="preserve"> e Pinto</w:t>
      </w:r>
      <w:r w:rsidRPr="00D35F3D">
        <w:rPr>
          <w:shd w:val="clear" w:color="auto" w:fill="FFFFFF"/>
        </w:rPr>
        <w:t>, 2005). Na condição de proprietário da terra, caso o produtor opte pelo sistema de fornecimento, os rendimentos com arrendamento poderiam ser considerados custos de oportunidade, visto que o proprietário estaria deixando de ganhar aquela renda. Deste modo,</w:t>
      </w:r>
      <w:r w:rsidRPr="00B15FD9">
        <w:rPr>
          <w:shd w:val="clear" w:color="auto" w:fill="FFFFFF"/>
        </w:rPr>
        <w:t xml:space="preserve"> presume-se que há possibilidades de acrescentar esta receita ao</w:t>
      </w:r>
      <w:r>
        <w:rPr>
          <w:shd w:val="clear" w:color="auto" w:fill="FFFFFF"/>
        </w:rPr>
        <w:t>s</w:t>
      </w:r>
      <w:r w:rsidRPr="00B15FD9">
        <w:rPr>
          <w:shd w:val="clear" w:color="auto" w:fill="FFFFFF"/>
        </w:rPr>
        <w:t xml:space="preserve"> </w:t>
      </w:r>
      <w:r>
        <w:rPr>
          <w:shd w:val="clear" w:color="auto" w:fill="FFFFFF"/>
        </w:rPr>
        <w:t>cálculos</w:t>
      </w:r>
      <w:r w:rsidRPr="00B15FD9">
        <w:rPr>
          <w:shd w:val="clear" w:color="auto" w:fill="FFFFFF"/>
        </w:rPr>
        <w:t xml:space="preserve">. </w:t>
      </w:r>
    </w:p>
    <w:p w:rsidR="000D626B" w:rsidRPr="00D35F3D" w:rsidRDefault="000D626B" w:rsidP="000D626B">
      <w:pPr>
        <w:spacing w:line="360" w:lineRule="auto"/>
        <w:rPr>
          <w:shd w:val="clear" w:color="auto" w:fill="FFFFFF"/>
        </w:rPr>
      </w:pPr>
      <w:r>
        <w:rPr>
          <w:color w:val="FF0000"/>
          <w:shd w:val="clear" w:color="auto" w:fill="FFFFFF"/>
        </w:rPr>
        <w:tab/>
      </w:r>
      <w:r w:rsidRPr="00D35F3D">
        <w:rPr>
          <w:shd w:val="clear" w:color="auto" w:fill="FFFFFF"/>
        </w:rPr>
        <w:t xml:space="preserve">Matematicamente isto </w:t>
      </w:r>
      <w:r>
        <w:rPr>
          <w:shd w:val="clear" w:color="auto" w:fill="FFFFFF"/>
        </w:rPr>
        <w:t>foi</w:t>
      </w:r>
      <w:r w:rsidRPr="00D35F3D">
        <w:rPr>
          <w:shd w:val="clear" w:color="auto" w:fill="FFFFFF"/>
        </w:rPr>
        <w:t xml:space="preserve"> possível e tal inclusão mud</w:t>
      </w:r>
      <w:r>
        <w:rPr>
          <w:shd w:val="clear" w:color="auto" w:fill="FFFFFF"/>
        </w:rPr>
        <w:t>ou</w:t>
      </w:r>
      <w:r w:rsidRPr="00D35F3D">
        <w:rPr>
          <w:shd w:val="clear" w:color="auto" w:fill="FFFFFF"/>
        </w:rPr>
        <w:t xml:space="preserve"> alguns resultados obtidos no estudo. Por exemplo, ao considerar como custo de oportunidade a receita anual de R$ 88.673</w:t>
      </w:r>
      <w:r w:rsidR="00ED5B57">
        <w:rPr>
          <w:shd w:val="clear" w:color="auto" w:fill="FFFFFF"/>
        </w:rPr>
        <w:t>,00</w:t>
      </w:r>
      <w:r w:rsidRPr="00D35F3D">
        <w:rPr>
          <w:shd w:val="clear" w:color="auto" w:fill="FFFFFF"/>
        </w:rPr>
        <w:t xml:space="preserve"> que o proprietário deixou de ganhar ao não arrendar as terras, observ</w:t>
      </w:r>
      <w:r>
        <w:rPr>
          <w:shd w:val="clear" w:color="auto" w:fill="FFFFFF"/>
        </w:rPr>
        <w:t>ou</w:t>
      </w:r>
      <w:r w:rsidRPr="00D35F3D">
        <w:rPr>
          <w:shd w:val="clear" w:color="auto" w:fill="FFFFFF"/>
        </w:rPr>
        <w:t>-se que ambos projetos de fornecimento de cana ("</w:t>
      </w:r>
      <w:r w:rsidRPr="000675A2">
        <w:rPr>
          <w:shd w:val="clear" w:color="auto" w:fill="FFFFFF"/>
        </w:rPr>
        <w:t>spot"</w:t>
      </w:r>
      <w:r w:rsidRPr="00D35F3D">
        <w:rPr>
          <w:shd w:val="clear" w:color="auto" w:fill="FFFFFF"/>
        </w:rPr>
        <w:t xml:space="preserve"> ou "esteira") tor</w:t>
      </w:r>
      <w:r>
        <w:rPr>
          <w:shd w:val="clear" w:color="auto" w:fill="FFFFFF"/>
        </w:rPr>
        <w:t>n</w:t>
      </w:r>
      <w:r w:rsidR="00427DE2">
        <w:rPr>
          <w:shd w:val="clear" w:color="auto" w:fill="FFFFFF"/>
        </w:rPr>
        <w:t>aram</w:t>
      </w:r>
      <w:r w:rsidRPr="00D35F3D">
        <w:rPr>
          <w:shd w:val="clear" w:color="auto" w:fill="FFFFFF"/>
        </w:rPr>
        <w:t xml:space="preserve">-se inviáveis, mesmo nas condições otimistas. Adicionalmente, </w:t>
      </w:r>
      <w:r>
        <w:rPr>
          <w:shd w:val="clear" w:color="auto" w:fill="FFFFFF"/>
        </w:rPr>
        <w:t xml:space="preserve">ressalta-se </w:t>
      </w:r>
      <w:r w:rsidRPr="00D35F3D">
        <w:rPr>
          <w:shd w:val="clear" w:color="auto" w:fill="FFFFFF"/>
        </w:rPr>
        <w:t>que o valor do a</w:t>
      </w:r>
      <w:r w:rsidRPr="005C4E50">
        <w:rPr>
          <w:shd w:val="clear" w:color="auto" w:fill="FFFFFF"/>
        </w:rPr>
        <w:t>rrendamento também deve ser alterado quando se leva em conta a possibilidade de cenários otimistas, como detalhado no exemplo anterior. Assim, sabe-se que pode haver a</w:t>
      </w:r>
      <w:r w:rsidR="00603F98">
        <w:rPr>
          <w:shd w:val="clear" w:color="auto" w:fill="FFFFFF"/>
        </w:rPr>
        <w:t>u</w:t>
      </w:r>
      <w:r w:rsidRPr="005C4E50">
        <w:rPr>
          <w:shd w:val="clear" w:color="auto" w:fill="FFFFFF"/>
        </w:rPr>
        <w:t xml:space="preserve">mento de até 44,6% na receita obtida com o arrendamento (R$ 88.673,00 </w:t>
      </w:r>
      <w:proofErr w:type="spellStart"/>
      <w:r w:rsidRPr="005C4E50">
        <w:rPr>
          <w:i/>
          <w:shd w:val="clear" w:color="auto" w:fill="FFFFFF"/>
        </w:rPr>
        <w:t>vs</w:t>
      </w:r>
      <w:proofErr w:type="spellEnd"/>
      <w:r w:rsidRPr="005C4E50">
        <w:rPr>
          <w:shd w:val="clear" w:color="auto" w:fill="FFFFFF"/>
        </w:rPr>
        <w:t xml:space="preserve"> R$ 128.363,00); observou-se que esta atividade </w:t>
      </w:r>
      <w:r w:rsidR="007773CA" w:rsidRPr="005C4E50">
        <w:rPr>
          <w:shd w:val="clear" w:color="auto" w:fill="FFFFFF"/>
        </w:rPr>
        <w:t xml:space="preserve">se </w:t>
      </w:r>
      <w:r w:rsidRPr="005C4E50">
        <w:rPr>
          <w:shd w:val="clear" w:color="auto" w:fill="FFFFFF"/>
        </w:rPr>
        <w:t xml:space="preserve">tornaria </w:t>
      </w:r>
      <w:r w:rsidR="00ED5B57" w:rsidRPr="005C4E50">
        <w:rPr>
          <w:shd w:val="clear" w:color="auto" w:fill="FFFFFF"/>
        </w:rPr>
        <w:t>mais inviável</w:t>
      </w:r>
      <w:r w:rsidRPr="005C4E50">
        <w:rPr>
          <w:shd w:val="clear" w:color="auto" w:fill="FFFFFF"/>
        </w:rPr>
        <w:t xml:space="preserve"> nessas condições.</w:t>
      </w:r>
      <w:r w:rsidRPr="00D35F3D">
        <w:rPr>
          <w:shd w:val="clear" w:color="auto" w:fill="FFFFFF"/>
        </w:rPr>
        <w:t xml:space="preserve">  </w:t>
      </w:r>
    </w:p>
    <w:p w:rsidR="000F5025" w:rsidRDefault="000D626B" w:rsidP="000F5025">
      <w:pPr>
        <w:spacing w:line="360" w:lineRule="auto"/>
        <w:rPr>
          <w:shd w:val="clear" w:color="auto" w:fill="FFFFFF"/>
        </w:rPr>
      </w:pPr>
      <w:r>
        <w:rPr>
          <w:color w:val="FF0000"/>
          <w:shd w:val="clear" w:color="auto" w:fill="FFFFFF"/>
        </w:rPr>
        <w:lastRenderedPageBreak/>
        <w:tab/>
      </w:r>
      <w:r w:rsidRPr="00642A9C">
        <w:rPr>
          <w:shd w:val="clear" w:color="auto" w:fill="FFFFFF"/>
        </w:rPr>
        <w:t>Contudo, somente investimentos com mesmo grau de risco devem ser comparados, visto que alternativas de diferentes níveis de risco não permitem comparação concisa e distorcem a concepção de custo de oportunidade na avaliação da atividade econômica (Assaf Neto, 2003).  Sabe</w:t>
      </w:r>
      <w:r>
        <w:rPr>
          <w:shd w:val="clear" w:color="auto" w:fill="FFFFFF"/>
        </w:rPr>
        <w:t>-se</w:t>
      </w:r>
      <w:r w:rsidRPr="00642A9C">
        <w:rPr>
          <w:shd w:val="clear" w:color="auto" w:fill="FFFFFF"/>
        </w:rPr>
        <w:t xml:space="preserve"> que, por exemplo, o sistema de fornecimento “</w:t>
      </w:r>
      <w:r w:rsidRPr="00D26D83">
        <w:rPr>
          <w:shd w:val="clear" w:color="auto" w:fill="FFFFFF"/>
        </w:rPr>
        <w:t>spot</w:t>
      </w:r>
      <w:r w:rsidRPr="00642A9C">
        <w:rPr>
          <w:shd w:val="clear" w:color="auto" w:fill="FFFFFF"/>
        </w:rPr>
        <w:t xml:space="preserve">” é muito mais arriscado do que os demais sistemas de produção, a inclusão de custos de oportunidade no presente trabalho é inadequada. </w:t>
      </w:r>
    </w:p>
    <w:p w:rsidR="00C92BE9" w:rsidRDefault="00C92BE9" w:rsidP="000F5025">
      <w:pPr>
        <w:spacing w:line="360" w:lineRule="auto"/>
        <w:rPr>
          <w:shd w:val="clear" w:color="auto" w:fill="FFFFFF"/>
        </w:rPr>
      </w:pPr>
    </w:p>
    <w:p w:rsidR="000F5025" w:rsidRDefault="000D626B" w:rsidP="000D626B">
      <w:pPr>
        <w:spacing w:line="360" w:lineRule="auto"/>
        <w:rPr>
          <w:b/>
        </w:rPr>
      </w:pPr>
      <w:r>
        <w:rPr>
          <w:b/>
        </w:rPr>
        <w:t>Conclusões</w:t>
      </w:r>
    </w:p>
    <w:p w:rsidR="000D626B" w:rsidRDefault="000D626B" w:rsidP="000D626B">
      <w:pPr>
        <w:spacing w:line="360" w:lineRule="auto"/>
      </w:pPr>
      <w:r>
        <w:tab/>
        <w:t>Conclui-se que a produção da cana-de-açúcar se torna inviável em todos os sistemas de produção, arrendamento ou fornecimento de cana “na esteira” e “spot” quando considerados os valores médios praticados na região de Chavantes/SP, em 100 ha de</w:t>
      </w:r>
      <w:r w:rsidR="007773CA">
        <w:t xml:space="preserve"> </w:t>
      </w:r>
      <w:r>
        <w:t>áreas cultivadas selecionadas.</w:t>
      </w:r>
    </w:p>
    <w:p w:rsidR="000D626B" w:rsidRDefault="000D626B" w:rsidP="000D626B">
      <w:pPr>
        <w:spacing w:line="360" w:lineRule="auto"/>
      </w:pPr>
      <w:r>
        <w:t xml:space="preserve"> </w:t>
      </w:r>
      <w:r>
        <w:tab/>
        <w:t>Porém, em condições mais otimistas (simuladas pela análise de sensib</w:t>
      </w:r>
      <w:r w:rsidR="007773CA">
        <w:t>ilidade), pode-se constatar que a</w:t>
      </w:r>
      <w:r>
        <w:t xml:space="preserve"> modalidade de fornecimento próprio de cana "</w:t>
      </w:r>
      <w:r w:rsidRPr="000675A2">
        <w:t>spot</w:t>
      </w:r>
      <w:r>
        <w:t>" tende a ser mais atrativa economicamente; no entanto, essa opção possu</w:t>
      </w:r>
      <w:r w:rsidR="007773CA">
        <w:t>i elevado risco para o produtor. Com isso, o</w:t>
      </w:r>
      <w:r>
        <w:t xml:space="preserve"> arrendamento desponta como boa opção para o produtor que tem dificuldades no fornecimento de cana própria, por ser economicamente viável e a alternativa mais segura</w:t>
      </w:r>
      <w:r w:rsidR="007773CA">
        <w:t>.</w:t>
      </w:r>
    </w:p>
    <w:p w:rsidR="000D626B" w:rsidRDefault="007773CA" w:rsidP="000D626B">
      <w:pPr>
        <w:spacing w:line="360" w:lineRule="auto"/>
      </w:pPr>
      <w:r>
        <w:tab/>
        <w:t>Quanto ao</w:t>
      </w:r>
      <w:r w:rsidR="000D626B">
        <w:t xml:space="preserve"> fornecimento de cana "na esteira", com pagamento pelo sistema CONSECANA, </w:t>
      </w:r>
      <w:r>
        <w:t>mostrou-se</w:t>
      </w:r>
      <w:r w:rsidR="000D626B">
        <w:t xml:space="preserve"> inviável na atual situação do mercado, pois os valores pagos aos fornecedores são muito baixos quando comparados aos custos envolvidos na aquisição de terras, instalação e manutenção da lavoura, principalmente.</w:t>
      </w:r>
    </w:p>
    <w:p w:rsidR="000D626B" w:rsidRDefault="000D626B" w:rsidP="000D626B">
      <w:pPr>
        <w:spacing w:line="360" w:lineRule="auto"/>
      </w:pPr>
      <w:r>
        <w:tab/>
        <w:t>No entanto, cada caso deve ser analisado individualmente por suas particularidades, visto que a viabilidade ou não dos projetos depende da negociação realizada e das condições peculiares de cada canavial.</w:t>
      </w:r>
    </w:p>
    <w:p w:rsidR="000D626B" w:rsidRDefault="000D626B" w:rsidP="000D626B">
      <w:pPr>
        <w:spacing w:line="360" w:lineRule="auto"/>
        <w:rPr>
          <w:color w:val="000000"/>
          <w:shd w:val="clear" w:color="auto" w:fill="FFFFFF"/>
        </w:rPr>
      </w:pPr>
    </w:p>
    <w:p w:rsidR="000D626B" w:rsidRDefault="000D626B" w:rsidP="000D626B">
      <w:pPr>
        <w:tabs>
          <w:tab w:val="left" w:pos="708"/>
          <w:tab w:val="left" w:pos="6735"/>
        </w:tabs>
        <w:spacing w:line="360" w:lineRule="auto"/>
      </w:pPr>
      <w:r w:rsidRPr="000E6826">
        <w:rPr>
          <w:b/>
        </w:rPr>
        <w:t>Referências</w:t>
      </w:r>
    </w:p>
    <w:p w:rsidR="000D626B" w:rsidRPr="005C4E50" w:rsidRDefault="000D626B" w:rsidP="00F44510">
      <w:pPr>
        <w:spacing w:line="240" w:lineRule="auto"/>
        <w:jc w:val="left"/>
      </w:pPr>
      <w:r w:rsidRPr="005C4E50">
        <w:t>Alves, F. 2014. O q</w:t>
      </w:r>
      <w:r w:rsidR="00F44510">
        <w:t xml:space="preserve">ue é e como calcular o </w:t>
      </w:r>
      <w:proofErr w:type="spellStart"/>
      <w:r w:rsidR="00F44510">
        <w:t>Payback</w:t>
      </w:r>
      <w:proofErr w:type="spellEnd"/>
      <w:r w:rsidR="00F44510">
        <w:t>?</w:t>
      </w:r>
      <w:r w:rsidRPr="005C4E50">
        <w:t xml:space="preserve"> Disponível em: &lt;http://www. industriahoje.com.br/como-calcular-o-</w:t>
      </w:r>
      <w:proofErr w:type="spellStart"/>
      <w:r w:rsidRPr="005C4E50">
        <w:t>payback</w:t>
      </w:r>
      <w:proofErr w:type="spellEnd"/>
      <w:r w:rsidRPr="005C4E50">
        <w:t>&gt;. Acesso em: maio 2015.</w:t>
      </w:r>
    </w:p>
    <w:p w:rsidR="000D626B" w:rsidRPr="005C4E50" w:rsidRDefault="000D626B" w:rsidP="00F44510">
      <w:pPr>
        <w:spacing w:line="240" w:lineRule="auto"/>
        <w:jc w:val="left"/>
      </w:pPr>
    </w:p>
    <w:p w:rsidR="000D626B" w:rsidRPr="005C4E50" w:rsidRDefault="000D626B" w:rsidP="00F44510">
      <w:pPr>
        <w:spacing w:line="240" w:lineRule="auto"/>
        <w:jc w:val="left"/>
      </w:pPr>
      <w:r w:rsidRPr="005C4E50">
        <w:t>Assaf Neto, A. 2003. Finanças corporativas e valor. São Paulo: Atlas. 609 p.</w:t>
      </w:r>
    </w:p>
    <w:p w:rsidR="005C4E50" w:rsidRPr="005C4E50" w:rsidRDefault="005C4E50" w:rsidP="00F44510">
      <w:pPr>
        <w:spacing w:line="240" w:lineRule="auto"/>
        <w:jc w:val="left"/>
      </w:pPr>
    </w:p>
    <w:p w:rsidR="000D626B" w:rsidRPr="00661D5D" w:rsidRDefault="000D626B" w:rsidP="00F44510">
      <w:pPr>
        <w:spacing w:line="240" w:lineRule="auto"/>
        <w:ind w:right="238"/>
        <w:jc w:val="left"/>
        <w:outlineLvl w:val="2"/>
      </w:pPr>
      <w:r w:rsidRPr="00661D5D">
        <w:t>Borda, J.C.; Gomes, C.; Rezende, F. 2014. Setor sucroalcooleiro enfrenta uma das maiores crises da história. Jornal da Globo. Disponível em: &lt;http://g1.globo.com/jornal-da-globo/noticia/2014/07/setor-sucroalcooleiro-enfrenta-uma-das-maiores-crises-da-historia.html&gt;. Acesso em: abr. 2015.</w:t>
      </w:r>
    </w:p>
    <w:p w:rsidR="000D626B" w:rsidRPr="00661D5D" w:rsidRDefault="000D626B" w:rsidP="00F44510">
      <w:pPr>
        <w:spacing w:line="240" w:lineRule="auto"/>
        <w:ind w:right="238"/>
        <w:jc w:val="left"/>
        <w:outlineLvl w:val="2"/>
      </w:pPr>
    </w:p>
    <w:p w:rsidR="000D626B" w:rsidRPr="00661D5D" w:rsidRDefault="000D626B" w:rsidP="00F44510">
      <w:pPr>
        <w:autoSpaceDE w:val="0"/>
        <w:autoSpaceDN w:val="0"/>
        <w:adjustRightInd w:val="0"/>
        <w:spacing w:line="240" w:lineRule="auto"/>
        <w:jc w:val="left"/>
      </w:pPr>
      <w:r w:rsidRPr="00661D5D">
        <w:t xml:space="preserve">BRASIL, 1996. Decreto nº 59.566, de 14 de novembro de 1966. Regulamenta as Seções I, II e III do Capítulo IV do Título III da Lei nº 4.504, de 30 de novembro de </w:t>
      </w:r>
      <w:r w:rsidRPr="00661D5D">
        <w:lastRenderedPageBreak/>
        <w:t>1964, Estatuto da Terra, o Capítulo III da Lei nº 4.947, de 6 de abril de 1966, e dá outras providências. Disponível em:&lt;http://www.planalto.gov.br/ccivil_03 /decreto/Antigos/D59566.htm&gt;. Acesso em: mar. 2014.</w:t>
      </w:r>
    </w:p>
    <w:p w:rsidR="000D626B" w:rsidRPr="00661D5D" w:rsidRDefault="000D626B" w:rsidP="00F44510">
      <w:pPr>
        <w:spacing w:line="240" w:lineRule="auto"/>
        <w:jc w:val="left"/>
      </w:pPr>
    </w:p>
    <w:p w:rsidR="000D626B" w:rsidRPr="00661D5D" w:rsidRDefault="000D626B" w:rsidP="00F44510">
      <w:pPr>
        <w:spacing w:line="240" w:lineRule="auto"/>
        <w:jc w:val="left"/>
      </w:pPr>
      <w:proofErr w:type="spellStart"/>
      <w:r w:rsidRPr="00661D5D">
        <w:t>Braunbeck</w:t>
      </w:r>
      <w:proofErr w:type="spellEnd"/>
      <w:r w:rsidRPr="00661D5D">
        <w:t>, O.A.; Magalhães, P.S.G. 2006. Colheita da cana de açúcar com auxílio mecânico. Disponível em: &lt;http://www.agencia.cnptia.embrapa.br/Repositorio/ Auxilio_Mecanico_Colheita_Cana_000fxew1kab02wyiv80soht9h8k862sp.pdf&gt;. Acesso em: abr. 2015.</w:t>
      </w:r>
    </w:p>
    <w:p w:rsidR="000D626B" w:rsidRPr="00661D5D" w:rsidRDefault="000D626B" w:rsidP="00F44510">
      <w:pPr>
        <w:spacing w:line="240" w:lineRule="auto"/>
        <w:jc w:val="left"/>
      </w:pPr>
    </w:p>
    <w:p w:rsidR="000D626B" w:rsidRPr="00661D5D" w:rsidRDefault="000D626B" w:rsidP="00F44510">
      <w:pPr>
        <w:spacing w:line="240" w:lineRule="auto"/>
        <w:jc w:val="left"/>
      </w:pPr>
      <w:r w:rsidRPr="00661D5D">
        <w:t>Caval</w:t>
      </w:r>
      <w:r>
        <w:t>cante, F. 2015. Valor presente l</w:t>
      </w:r>
      <w:r w:rsidRPr="00661D5D">
        <w:t>íquido (VPL). Disponível em: &lt;http://www.cavalcanteassociados.com.br/article.php?id=61&gt;. Acesso em: mai</w:t>
      </w:r>
      <w:r>
        <w:t>o</w:t>
      </w:r>
      <w:r w:rsidRPr="00661D5D">
        <w:t xml:space="preserve"> 2015.</w:t>
      </w:r>
    </w:p>
    <w:p w:rsidR="000D626B" w:rsidRPr="00661D5D" w:rsidRDefault="000D626B" w:rsidP="00F44510">
      <w:pPr>
        <w:spacing w:line="240" w:lineRule="auto"/>
        <w:jc w:val="left"/>
      </w:pPr>
    </w:p>
    <w:p w:rsidR="000D626B" w:rsidRPr="00661D5D" w:rsidRDefault="000D626B" w:rsidP="00F44510">
      <w:pPr>
        <w:spacing w:line="240" w:lineRule="auto"/>
        <w:jc w:val="left"/>
      </w:pPr>
      <w:r w:rsidRPr="00661D5D">
        <w:t>Companhia Nacional de Abastecimento [CONAB]. 2014. Acompanhamento da safra brasileira cana-de-açúcar, v. 1- Safra 2014/2015, n. 3 - terceiro levantamento. Brasília: CONAB. 27 p.</w:t>
      </w:r>
    </w:p>
    <w:p w:rsidR="000D626B" w:rsidRPr="00661D5D" w:rsidRDefault="000D626B" w:rsidP="00F44510">
      <w:pPr>
        <w:spacing w:line="240" w:lineRule="auto"/>
        <w:jc w:val="left"/>
      </w:pPr>
    </w:p>
    <w:p w:rsidR="000D626B" w:rsidRPr="00661D5D" w:rsidRDefault="000D626B" w:rsidP="00F44510">
      <w:pPr>
        <w:spacing w:line="240" w:lineRule="auto"/>
        <w:jc w:val="left"/>
      </w:pPr>
      <w:r w:rsidRPr="00661D5D">
        <w:t>Confederação da Agricultura e Pecuária do Brasil [CNA]. 2007. Orientações para o Setor Canavieiro. Disponível em: &lt;http://www.agencia.cnptia.embrapa.br/Repositorio/ Cana-de-acucar_orientacoes_para_o_setor_canavieiro_000fipw96tk02wyiv80z 4s4733kvhu6q.pdf&gt;. Acesso em: mai</w:t>
      </w:r>
      <w:r>
        <w:t>o</w:t>
      </w:r>
      <w:r w:rsidRPr="00661D5D">
        <w:t xml:space="preserve"> 2015.</w:t>
      </w:r>
    </w:p>
    <w:p w:rsidR="000D626B" w:rsidRPr="00661D5D" w:rsidRDefault="000D626B" w:rsidP="00F44510">
      <w:pPr>
        <w:spacing w:line="240" w:lineRule="auto"/>
        <w:jc w:val="left"/>
      </w:pPr>
    </w:p>
    <w:p w:rsidR="000D626B" w:rsidRPr="00661D5D" w:rsidRDefault="000D626B" w:rsidP="00F44510">
      <w:pPr>
        <w:spacing w:line="240" w:lineRule="auto"/>
        <w:jc w:val="left"/>
      </w:pPr>
      <w:r w:rsidRPr="00661D5D">
        <w:t>Confederação da Agricultura e Pecuária do Brasil [CNA]/ Programa de Educação Continuada em Economia e Gestão de Empresas [PECEGE]. 2014. Boletim Ativos Cana de Açúcar. 8. ed. Disponível em &lt; http://www.canaldoprodutor.com.br/sites /default/files/ativos_CANA_8.pdf&gt; Acesso em: maio 2015.</w:t>
      </w:r>
    </w:p>
    <w:p w:rsidR="000D626B" w:rsidRPr="00661D5D" w:rsidRDefault="000D626B" w:rsidP="00F44510">
      <w:pPr>
        <w:spacing w:line="240" w:lineRule="auto"/>
        <w:jc w:val="left"/>
      </w:pPr>
    </w:p>
    <w:p w:rsidR="000D626B" w:rsidRPr="00661D5D" w:rsidRDefault="000D626B" w:rsidP="00F44510">
      <w:pPr>
        <w:spacing w:line="240" w:lineRule="auto"/>
        <w:jc w:val="left"/>
        <w:rPr>
          <w:lang w:val="en-US"/>
        </w:rPr>
      </w:pPr>
      <w:r w:rsidRPr="00661D5D">
        <w:t xml:space="preserve">Conselho dos Produtores de cana-de-açúcar, açúcar e álcool do estado de São Paulo [CONSECANA]. </w:t>
      </w:r>
      <w:r w:rsidRPr="00661D5D">
        <w:rPr>
          <w:lang w:val="en-US"/>
        </w:rPr>
        <w:t xml:space="preserve">2006. Manual de </w:t>
      </w:r>
      <w:proofErr w:type="spellStart"/>
      <w:r w:rsidRPr="00661D5D">
        <w:rPr>
          <w:lang w:val="en-US"/>
        </w:rPr>
        <w:t>Instruções</w:t>
      </w:r>
      <w:proofErr w:type="spellEnd"/>
      <w:r w:rsidRPr="00661D5D">
        <w:rPr>
          <w:lang w:val="en-US"/>
        </w:rPr>
        <w:t xml:space="preserve">. 5. ed. Piracicaba: CONSECANA. </w:t>
      </w:r>
      <w:proofErr w:type="gramStart"/>
      <w:r w:rsidRPr="00661D5D">
        <w:rPr>
          <w:lang w:val="en-US"/>
        </w:rPr>
        <w:t>111</w:t>
      </w:r>
      <w:proofErr w:type="gramEnd"/>
      <w:r w:rsidRPr="00661D5D">
        <w:rPr>
          <w:lang w:val="en-US"/>
        </w:rPr>
        <w:t xml:space="preserve"> p.</w:t>
      </w:r>
    </w:p>
    <w:p w:rsidR="000D626B" w:rsidRPr="00661D5D" w:rsidRDefault="000D626B" w:rsidP="00F44510">
      <w:pPr>
        <w:spacing w:line="240" w:lineRule="auto"/>
        <w:jc w:val="left"/>
        <w:rPr>
          <w:lang w:val="en-US"/>
        </w:rPr>
      </w:pPr>
    </w:p>
    <w:p w:rsidR="000D626B" w:rsidRPr="00661D5D" w:rsidRDefault="000D626B" w:rsidP="00F44510">
      <w:pPr>
        <w:spacing w:line="240" w:lineRule="auto"/>
        <w:jc w:val="left"/>
      </w:pPr>
      <w:r w:rsidRPr="00661D5D">
        <w:rPr>
          <w:lang w:val="en-US"/>
        </w:rPr>
        <w:t>Food and Agriculture Organization of the United Nations [FAO]</w:t>
      </w:r>
      <w:r>
        <w:rPr>
          <w:lang w:val="en-US"/>
        </w:rPr>
        <w:t>. 2016</w:t>
      </w:r>
      <w:r w:rsidRPr="00661D5D">
        <w:rPr>
          <w:lang w:val="en-US"/>
        </w:rPr>
        <w:t xml:space="preserve">. </w:t>
      </w:r>
      <w:r w:rsidRPr="00661D5D">
        <w:t>Disponível em: &lt;http://faostat.fao.org/site/33</w:t>
      </w:r>
      <w:r>
        <w:t>9/default.aspx&gt;. Acesso em: abr. 2016</w:t>
      </w:r>
      <w:r w:rsidRPr="00661D5D">
        <w:t>.</w:t>
      </w:r>
    </w:p>
    <w:p w:rsidR="000D626B" w:rsidRPr="00661D5D" w:rsidRDefault="000D626B" w:rsidP="00F44510">
      <w:pPr>
        <w:spacing w:line="240" w:lineRule="auto"/>
        <w:jc w:val="left"/>
      </w:pPr>
    </w:p>
    <w:p w:rsidR="000D626B" w:rsidRPr="00661D5D" w:rsidRDefault="000D626B" w:rsidP="00F44510">
      <w:pPr>
        <w:autoSpaceDE w:val="0"/>
        <w:autoSpaceDN w:val="0"/>
        <w:adjustRightInd w:val="0"/>
        <w:spacing w:line="240" w:lineRule="auto"/>
        <w:jc w:val="left"/>
      </w:pPr>
      <w:r w:rsidRPr="00661D5D">
        <w:t>Faculdade Getúlio Vargas</w:t>
      </w:r>
      <w:r>
        <w:t xml:space="preserve"> [FGV]</w:t>
      </w:r>
      <w:r w:rsidRPr="00661D5D">
        <w:t xml:space="preserve">. 2014.  </w:t>
      </w:r>
      <w:r w:rsidRPr="00661D5D">
        <w:rPr>
          <w:bCs/>
        </w:rPr>
        <w:t xml:space="preserve">Programa Viva Terra! </w:t>
      </w:r>
      <w:r w:rsidRPr="00661D5D">
        <w:t>Disponível em:</w:t>
      </w:r>
      <w:r>
        <w:t xml:space="preserve"> </w:t>
      </w:r>
      <w:r w:rsidRPr="00661D5D">
        <w:t>&lt;http://www.fgv.br/programavivaterra/arrendparc.html&gt;. Acesso em: maio 2015.</w:t>
      </w:r>
    </w:p>
    <w:p w:rsidR="000D626B" w:rsidRDefault="000D626B" w:rsidP="00F44510">
      <w:pPr>
        <w:spacing w:line="240" w:lineRule="auto"/>
        <w:jc w:val="left"/>
      </w:pPr>
    </w:p>
    <w:p w:rsidR="000D626B" w:rsidRDefault="000D626B" w:rsidP="00F44510">
      <w:pPr>
        <w:spacing w:line="240" w:lineRule="auto"/>
        <w:jc w:val="left"/>
      </w:pPr>
      <w:r w:rsidRPr="00661D5D">
        <w:t>Gordinho, M.C. 2010. Do álcool ao etanol: trajetória única. São Paulo: Terceiro Nome. 14 p.</w:t>
      </w:r>
    </w:p>
    <w:p w:rsidR="000D626B" w:rsidRPr="00661D5D" w:rsidRDefault="000D626B" w:rsidP="00F44510">
      <w:pPr>
        <w:spacing w:line="240" w:lineRule="auto"/>
        <w:jc w:val="left"/>
      </w:pPr>
    </w:p>
    <w:p w:rsidR="000D626B" w:rsidRPr="00661D5D" w:rsidRDefault="000D626B" w:rsidP="00F44510">
      <w:pPr>
        <w:spacing w:line="240" w:lineRule="auto"/>
        <w:jc w:val="left"/>
      </w:pPr>
      <w:r w:rsidRPr="00661D5D">
        <w:t>Goulart, A.M.C. 2002. Custo de oportunidade: oculto na contabilidade, nebuloso na mente dos contadores. Revista Contabilidade e Finanças 13: 19- 31.</w:t>
      </w:r>
    </w:p>
    <w:p w:rsidR="000D626B" w:rsidRPr="00661D5D" w:rsidRDefault="000D626B" w:rsidP="00F44510">
      <w:pPr>
        <w:spacing w:line="240" w:lineRule="auto"/>
        <w:jc w:val="left"/>
      </w:pPr>
    </w:p>
    <w:p w:rsidR="000D626B" w:rsidRDefault="000D626B" w:rsidP="00F44510">
      <w:pPr>
        <w:spacing w:line="240" w:lineRule="auto"/>
        <w:jc w:val="left"/>
      </w:pPr>
      <w:r>
        <w:t>Instituto de Economia Agrícola [IEA]</w:t>
      </w:r>
      <w:r w:rsidRPr="00661D5D">
        <w:t>. 2012. Banco de Dados. Disponível em: &lt;http://www.iea.sp.gov.br/out/bancodedados.html&gt;. Acesso em: mai</w:t>
      </w:r>
      <w:r>
        <w:t>o</w:t>
      </w:r>
      <w:r w:rsidRPr="00661D5D">
        <w:t xml:space="preserve"> 2015.</w:t>
      </w:r>
    </w:p>
    <w:p w:rsidR="000D626B" w:rsidRDefault="000D626B" w:rsidP="00F44510">
      <w:pPr>
        <w:spacing w:line="240" w:lineRule="auto"/>
        <w:jc w:val="left"/>
      </w:pPr>
    </w:p>
    <w:p w:rsidR="000D626B" w:rsidRDefault="000D626B" w:rsidP="00F44510">
      <w:pPr>
        <w:spacing w:line="240" w:lineRule="auto"/>
        <w:jc w:val="left"/>
      </w:pPr>
      <w:r>
        <w:t>Instituto de Economia Agrícola [IEA]</w:t>
      </w:r>
      <w:r w:rsidRPr="00661D5D">
        <w:t>. 201</w:t>
      </w:r>
      <w:r>
        <w:t>4</w:t>
      </w:r>
      <w:r w:rsidRPr="00661D5D">
        <w:t xml:space="preserve">. Banco de Dados. Disponível em: </w:t>
      </w:r>
      <w:r>
        <w:t xml:space="preserve">              </w:t>
      </w:r>
      <w:r w:rsidRPr="00661D5D">
        <w:t>&lt;</w:t>
      </w:r>
      <w:r w:rsidRPr="0065162E">
        <w:t xml:space="preserve"> http://ciagri.iea.sp.gov.br/nia1/precor.aspx?cod_tipo=1&amp;cod_sis=8</w:t>
      </w:r>
      <w:r w:rsidRPr="00661D5D">
        <w:t>&gt;. Acesso em: mai</w:t>
      </w:r>
      <w:r>
        <w:t>o</w:t>
      </w:r>
      <w:r w:rsidRPr="00661D5D">
        <w:t xml:space="preserve"> 2015.</w:t>
      </w:r>
    </w:p>
    <w:p w:rsidR="000D626B" w:rsidRPr="00661D5D" w:rsidRDefault="000D626B" w:rsidP="00F44510">
      <w:pPr>
        <w:spacing w:line="240" w:lineRule="auto"/>
        <w:jc w:val="left"/>
      </w:pPr>
    </w:p>
    <w:p w:rsidR="000D626B" w:rsidRDefault="000D626B" w:rsidP="00F44510">
      <w:pPr>
        <w:spacing w:line="240" w:lineRule="auto"/>
        <w:jc w:val="left"/>
      </w:pPr>
      <w:r w:rsidRPr="00661D5D">
        <w:t xml:space="preserve">Lima Filho, R.R; Aguiar, G.A.M; Torres Junior, A.M. 2014. Arrendar ou produzir? </w:t>
      </w:r>
      <w:proofErr w:type="spellStart"/>
      <w:r w:rsidRPr="00661D5D">
        <w:t>AgroAnalysis</w:t>
      </w:r>
      <w:proofErr w:type="spellEnd"/>
      <w:r w:rsidRPr="00661D5D">
        <w:t xml:space="preserve"> 29: 26-27.</w:t>
      </w:r>
    </w:p>
    <w:p w:rsidR="000D626B" w:rsidRDefault="000D626B" w:rsidP="00F44510">
      <w:pPr>
        <w:spacing w:line="240" w:lineRule="auto"/>
        <w:jc w:val="left"/>
      </w:pPr>
    </w:p>
    <w:p w:rsidR="000D626B" w:rsidRPr="00661D5D" w:rsidRDefault="000D626B" w:rsidP="00F44510">
      <w:pPr>
        <w:spacing w:line="240" w:lineRule="auto"/>
        <w:jc w:val="left"/>
      </w:pPr>
      <w:r w:rsidRPr="00661D5D">
        <w:lastRenderedPageBreak/>
        <w:t>Machado, F.B.P. 2003. Brasil a doce terra - História do Setor. Disponível em: &lt;http://www.jornalcana.com.br/brasil-a-doce-terra-historia-do-setor/&gt; Acesso em: mar, 2015.</w:t>
      </w:r>
    </w:p>
    <w:p w:rsidR="000D626B" w:rsidRPr="00661D5D" w:rsidRDefault="000D626B" w:rsidP="00F44510">
      <w:pPr>
        <w:spacing w:line="240" w:lineRule="auto"/>
        <w:jc w:val="left"/>
      </w:pPr>
    </w:p>
    <w:p w:rsidR="000D626B" w:rsidRPr="00661D5D" w:rsidRDefault="000D626B" w:rsidP="00F44510">
      <w:pPr>
        <w:spacing w:line="240" w:lineRule="auto"/>
        <w:jc w:val="left"/>
      </w:pPr>
      <w:r w:rsidRPr="00661D5D">
        <w:t xml:space="preserve">Martins, C. 2014. Diretores da </w:t>
      </w:r>
      <w:proofErr w:type="spellStart"/>
      <w:r w:rsidRPr="00661D5D">
        <w:t>Assocana</w:t>
      </w:r>
      <w:proofErr w:type="spellEnd"/>
      <w:r w:rsidRPr="00661D5D">
        <w:t xml:space="preserve"> se reúnem com diretor da </w:t>
      </w:r>
      <w:proofErr w:type="spellStart"/>
      <w:r w:rsidRPr="00661D5D">
        <w:t>Raízen</w:t>
      </w:r>
      <w:proofErr w:type="spellEnd"/>
      <w:r w:rsidRPr="00661D5D">
        <w:t xml:space="preserve">. Assis: Jornal da </w:t>
      </w:r>
      <w:proofErr w:type="spellStart"/>
      <w:r w:rsidRPr="00661D5D">
        <w:t>Assocana</w:t>
      </w:r>
      <w:proofErr w:type="spellEnd"/>
      <w:r w:rsidRPr="00661D5D">
        <w:t xml:space="preserve"> 177: 05. Entrevista concedida à </w:t>
      </w:r>
      <w:proofErr w:type="spellStart"/>
      <w:r w:rsidRPr="00661D5D">
        <w:t>Assocana</w:t>
      </w:r>
      <w:proofErr w:type="spellEnd"/>
      <w:r w:rsidRPr="00661D5D">
        <w:t>.</w:t>
      </w:r>
    </w:p>
    <w:p w:rsidR="000D626B" w:rsidRPr="00661D5D" w:rsidRDefault="000D626B" w:rsidP="00F44510">
      <w:pPr>
        <w:spacing w:line="240" w:lineRule="auto"/>
        <w:jc w:val="left"/>
      </w:pPr>
    </w:p>
    <w:p w:rsidR="000D626B" w:rsidRPr="00661D5D" w:rsidRDefault="000D626B" w:rsidP="00F44510">
      <w:pPr>
        <w:spacing w:line="240" w:lineRule="auto"/>
        <w:jc w:val="left"/>
      </w:pPr>
      <w:proofErr w:type="spellStart"/>
      <w:r w:rsidRPr="00661D5D">
        <w:t>Novacana</w:t>
      </w:r>
      <w:proofErr w:type="spellEnd"/>
      <w:r w:rsidRPr="00661D5D">
        <w:t xml:space="preserve">. 2013. A produção de cana de açúcar no Brasil (e no mundo). Disponível em:&lt;http://www.novacana.com/cana/producao-cana-de-acucar-brasil-e-mundo/&gt; </w:t>
      </w:r>
      <w:r w:rsidRPr="005C4E50">
        <w:t>Acesso em: dez 2014.</w:t>
      </w:r>
    </w:p>
    <w:p w:rsidR="000D626B" w:rsidRPr="00661D5D" w:rsidRDefault="000D626B" w:rsidP="00F44510">
      <w:pPr>
        <w:spacing w:line="240" w:lineRule="auto"/>
        <w:jc w:val="left"/>
      </w:pPr>
    </w:p>
    <w:p w:rsidR="000D626B" w:rsidRPr="00661D5D" w:rsidRDefault="000D626B" w:rsidP="00F44510">
      <w:pPr>
        <w:spacing w:line="240" w:lineRule="auto"/>
        <w:jc w:val="left"/>
      </w:pPr>
      <w:proofErr w:type="spellStart"/>
      <w:r w:rsidRPr="00661D5D">
        <w:t>Paraizo</w:t>
      </w:r>
      <w:proofErr w:type="spellEnd"/>
      <w:r w:rsidRPr="00661D5D">
        <w:t>, D. 2013. Aspectos do Plantio da Cana de açúcar. Disponível em:</w:t>
      </w:r>
      <w:r>
        <w:t xml:space="preserve"> </w:t>
      </w:r>
      <w:r w:rsidRPr="00661D5D">
        <w:t>&lt;http://www.novacana.com/cana/aspectos-plantio-cana-de-acucar/&gt;. Acesso em: mai</w:t>
      </w:r>
      <w:r>
        <w:t>o</w:t>
      </w:r>
      <w:r w:rsidRPr="00661D5D">
        <w:t xml:space="preserve"> 2015.</w:t>
      </w:r>
    </w:p>
    <w:p w:rsidR="000D626B" w:rsidRPr="00661D5D" w:rsidRDefault="000D626B" w:rsidP="00F44510">
      <w:pPr>
        <w:spacing w:line="240" w:lineRule="auto"/>
        <w:jc w:val="left"/>
      </w:pPr>
    </w:p>
    <w:p w:rsidR="000D626B" w:rsidRPr="00FF2E0A" w:rsidRDefault="000D626B" w:rsidP="00F44510">
      <w:pPr>
        <w:spacing w:line="240" w:lineRule="auto"/>
        <w:jc w:val="left"/>
      </w:pPr>
      <w:proofErr w:type="spellStart"/>
      <w:r w:rsidRPr="00661D5D">
        <w:t>Perina</w:t>
      </w:r>
      <w:proofErr w:type="spellEnd"/>
      <w:r w:rsidRPr="00661D5D">
        <w:t xml:space="preserve">, R.A. 2013. Elaboração e avaliação de projetos. Apostila do MBA em Agroenergia. </w:t>
      </w:r>
      <w:proofErr w:type="spellStart"/>
      <w:r w:rsidRPr="00FF2E0A">
        <w:t>Pecege</w:t>
      </w:r>
      <w:proofErr w:type="spellEnd"/>
      <w:r w:rsidRPr="00FF2E0A">
        <w:t>, ESALQ. Turma 2013 / 1º sem.</w:t>
      </w:r>
    </w:p>
    <w:p w:rsidR="000D626B" w:rsidRPr="00661D5D" w:rsidRDefault="000D626B" w:rsidP="00F44510">
      <w:pPr>
        <w:spacing w:line="240" w:lineRule="auto"/>
        <w:jc w:val="left"/>
      </w:pPr>
    </w:p>
    <w:p w:rsidR="000D626B" w:rsidRPr="00661D5D" w:rsidRDefault="000D626B" w:rsidP="00F44510">
      <w:pPr>
        <w:spacing w:line="240" w:lineRule="auto"/>
        <w:jc w:val="left"/>
      </w:pPr>
      <w:proofErr w:type="spellStart"/>
      <w:r w:rsidRPr="00661D5D">
        <w:t>Scot</w:t>
      </w:r>
      <w:proofErr w:type="spellEnd"/>
      <w:r w:rsidRPr="00661D5D">
        <w:t xml:space="preserve"> Consultoria, 2014. Rentabilidades médias dos principais investimentos em 2012 e 2013. Disponível em: &lt;https://www.scotconsultoria.com.br/noticias/cartas/34882/carta-gestor---arrendar-ou-produzir-cana-de-acucar?.htm&gt;. Acesso em: dez. 2014.</w:t>
      </w:r>
    </w:p>
    <w:p w:rsidR="000D626B" w:rsidRPr="00661D5D" w:rsidRDefault="000D626B" w:rsidP="00F44510">
      <w:pPr>
        <w:spacing w:line="240" w:lineRule="auto"/>
        <w:jc w:val="left"/>
      </w:pPr>
    </w:p>
    <w:p w:rsidR="000D626B" w:rsidRPr="00661D5D" w:rsidRDefault="000D626B" w:rsidP="00F44510">
      <w:pPr>
        <w:spacing w:line="240" w:lineRule="auto"/>
        <w:jc w:val="left"/>
      </w:pPr>
      <w:proofErr w:type="spellStart"/>
      <w:r w:rsidRPr="00661D5D">
        <w:t>Snyman</w:t>
      </w:r>
      <w:proofErr w:type="spellEnd"/>
      <w:r w:rsidRPr="00661D5D">
        <w:t xml:space="preserve">, S.J.; Meyer, G.M.; Koch, A.C.; </w:t>
      </w:r>
      <w:proofErr w:type="spellStart"/>
      <w:r w:rsidRPr="00661D5D">
        <w:t>Banasiak</w:t>
      </w:r>
      <w:proofErr w:type="spellEnd"/>
      <w:r w:rsidRPr="00661D5D">
        <w:t xml:space="preserve">, M.; Watt, M.P. 2011. </w:t>
      </w:r>
      <w:r w:rsidRPr="00661D5D">
        <w:rPr>
          <w:lang w:val="en-US"/>
        </w:rPr>
        <w:t xml:space="preserve">Applications of </w:t>
      </w:r>
      <w:r w:rsidRPr="00661D5D">
        <w:rPr>
          <w:i/>
          <w:iCs/>
          <w:lang w:val="en-US"/>
        </w:rPr>
        <w:t>in vitro</w:t>
      </w:r>
      <w:r w:rsidRPr="00661D5D">
        <w:rPr>
          <w:lang w:val="en-US"/>
        </w:rPr>
        <w:t xml:space="preserve"> culture systems for commercial sugarcane production and improvement. </w:t>
      </w:r>
      <w:r w:rsidRPr="00661D5D">
        <w:t xml:space="preserve">In vitro </w:t>
      </w:r>
      <w:proofErr w:type="spellStart"/>
      <w:r w:rsidRPr="00661D5D">
        <w:t>Cellular</w:t>
      </w:r>
      <w:proofErr w:type="spellEnd"/>
      <w:r w:rsidRPr="00661D5D">
        <w:t xml:space="preserve"> &amp; </w:t>
      </w:r>
      <w:proofErr w:type="spellStart"/>
      <w:r w:rsidRPr="00661D5D">
        <w:t>Developmental</w:t>
      </w:r>
      <w:proofErr w:type="spellEnd"/>
      <w:r w:rsidRPr="00661D5D">
        <w:t xml:space="preserve"> </w:t>
      </w:r>
      <w:proofErr w:type="spellStart"/>
      <w:r w:rsidRPr="00661D5D">
        <w:t>Biology</w:t>
      </w:r>
      <w:proofErr w:type="spellEnd"/>
      <w:r w:rsidRPr="00661D5D">
        <w:t xml:space="preserve"> - </w:t>
      </w:r>
      <w:proofErr w:type="spellStart"/>
      <w:r w:rsidRPr="00661D5D">
        <w:t>Plant</w:t>
      </w:r>
      <w:proofErr w:type="spellEnd"/>
      <w:r w:rsidRPr="00661D5D">
        <w:t xml:space="preserve"> 47: 234-249.</w:t>
      </w:r>
    </w:p>
    <w:p w:rsidR="000D626B" w:rsidRPr="00661D5D" w:rsidRDefault="000D626B" w:rsidP="00F44510">
      <w:pPr>
        <w:spacing w:line="240" w:lineRule="auto"/>
        <w:jc w:val="left"/>
      </w:pPr>
    </w:p>
    <w:p w:rsidR="000D626B" w:rsidRPr="00661D5D" w:rsidRDefault="000D626B" w:rsidP="00F44510">
      <w:pPr>
        <w:spacing w:line="240" w:lineRule="auto"/>
        <w:jc w:val="left"/>
      </w:pPr>
      <w:r w:rsidRPr="00661D5D">
        <w:t xml:space="preserve">Torres, H. 2014. Aspectos Metodológicos. Assistência à monografia. Apostila do MBA em Agroenergia. </w:t>
      </w:r>
      <w:proofErr w:type="spellStart"/>
      <w:r w:rsidRPr="00661D5D">
        <w:t>Pecege</w:t>
      </w:r>
      <w:proofErr w:type="spellEnd"/>
      <w:r w:rsidRPr="00661D5D">
        <w:t>, ESALQ. Turma 2013 / 1º sem.</w:t>
      </w:r>
    </w:p>
    <w:p w:rsidR="000D626B" w:rsidRPr="00661D5D" w:rsidRDefault="000D626B" w:rsidP="00F44510">
      <w:pPr>
        <w:spacing w:line="240" w:lineRule="auto"/>
        <w:jc w:val="left"/>
      </w:pPr>
    </w:p>
    <w:p w:rsidR="000D626B" w:rsidRPr="00661D5D" w:rsidRDefault="000D626B" w:rsidP="00F44510">
      <w:pPr>
        <w:spacing w:line="240" w:lineRule="auto"/>
        <w:jc w:val="left"/>
      </w:pPr>
      <w:r w:rsidRPr="00661D5D">
        <w:t xml:space="preserve">União da Indústria de Cana de Açúcar [UNICA]. 2014. Setor </w:t>
      </w:r>
      <w:proofErr w:type="spellStart"/>
      <w:r w:rsidRPr="00661D5D">
        <w:t>Sucroenergético</w:t>
      </w:r>
      <w:proofErr w:type="spellEnd"/>
      <w:r w:rsidRPr="00661D5D">
        <w:t>- Balanço da Safra 14/15. Disponível em: &lt;http://www.unica.com.br/noticia/ 37475625920334997491/quebra-agricola-e-reducao-da-moagem-promovem-perda-de-receita-superior-a-r-por-cento24-3-bilhoes-na-safra-2014-por-cento2F2015/&gt;. Acesso em: jan. 2015.</w:t>
      </w:r>
    </w:p>
    <w:p w:rsidR="000D626B" w:rsidRPr="00661D5D" w:rsidRDefault="000D626B" w:rsidP="00F44510">
      <w:pPr>
        <w:spacing w:line="240" w:lineRule="auto"/>
        <w:jc w:val="left"/>
      </w:pPr>
    </w:p>
    <w:p w:rsidR="000D626B" w:rsidRPr="00661D5D" w:rsidRDefault="000D626B" w:rsidP="00F44510">
      <w:pPr>
        <w:spacing w:line="240" w:lineRule="auto"/>
        <w:jc w:val="left"/>
        <w:rPr>
          <w:lang w:val="en-US"/>
        </w:rPr>
      </w:pPr>
      <w:proofErr w:type="spellStart"/>
      <w:r w:rsidRPr="00661D5D">
        <w:rPr>
          <w:rFonts w:eastAsiaTheme="majorEastAsia"/>
        </w:rPr>
        <w:t>W</w:t>
      </w:r>
      <w:r w:rsidRPr="00661D5D">
        <w:t>aclawovsky</w:t>
      </w:r>
      <w:proofErr w:type="spellEnd"/>
      <w:r w:rsidRPr="00661D5D">
        <w:rPr>
          <w:rFonts w:eastAsiaTheme="majorEastAsia"/>
        </w:rPr>
        <w:t>, A.J., S</w:t>
      </w:r>
      <w:r w:rsidRPr="00661D5D">
        <w:t>ato</w:t>
      </w:r>
      <w:r w:rsidRPr="00661D5D">
        <w:rPr>
          <w:rFonts w:eastAsiaTheme="majorEastAsia"/>
        </w:rPr>
        <w:t xml:space="preserve">, P.M., </w:t>
      </w:r>
      <w:proofErr w:type="spellStart"/>
      <w:r w:rsidRPr="00661D5D">
        <w:rPr>
          <w:rFonts w:eastAsiaTheme="majorEastAsia"/>
        </w:rPr>
        <w:t>L</w:t>
      </w:r>
      <w:r w:rsidRPr="00661D5D">
        <w:t>embke</w:t>
      </w:r>
      <w:proofErr w:type="spellEnd"/>
      <w:r w:rsidRPr="00661D5D">
        <w:rPr>
          <w:rFonts w:eastAsiaTheme="majorEastAsia"/>
        </w:rPr>
        <w:t>, C.G., M</w:t>
      </w:r>
      <w:r w:rsidRPr="00661D5D">
        <w:t>oore</w:t>
      </w:r>
      <w:r w:rsidRPr="00661D5D">
        <w:rPr>
          <w:rFonts w:eastAsiaTheme="majorEastAsia"/>
        </w:rPr>
        <w:t>, P.H</w:t>
      </w:r>
      <w:r w:rsidRPr="00661D5D">
        <w:t xml:space="preserve">., </w:t>
      </w:r>
      <w:r w:rsidRPr="00661D5D">
        <w:rPr>
          <w:rFonts w:eastAsiaTheme="majorEastAsia"/>
        </w:rPr>
        <w:t>S</w:t>
      </w:r>
      <w:r w:rsidRPr="00661D5D">
        <w:t>ouza</w:t>
      </w:r>
      <w:r w:rsidRPr="00661D5D">
        <w:rPr>
          <w:rFonts w:eastAsiaTheme="majorEastAsia"/>
        </w:rPr>
        <w:t xml:space="preserve">, G.M. 2010. </w:t>
      </w:r>
      <w:r w:rsidRPr="00661D5D">
        <w:rPr>
          <w:rFonts w:eastAsiaTheme="majorEastAsia"/>
          <w:lang w:val="en-US"/>
        </w:rPr>
        <w:t>Sugarcane for bioenergy production: an assessment of yield and regulation of sucrose content. Plant Biotechnology J</w:t>
      </w:r>
      <w:r w:rsidRPr="00661D5D">
        <w:rPr>
          <w:lang w:val="en-US"/>
        </w:rPr>
        <w:t>ournal</w:t>
      </w:r>
      <w:r w:rsidRPr="00661D5D">
        <w:rPr>
          <w:rFonts w:eastAsiaTheme="majorEastAsia"/>
          <w:lang w:val="en-US"/>
        </w:rPr>
        <w:t xml:space="preserve"> 8</w:t>
      </w:r>
      <w:r w:rsidRPr="00661D5D">
        <w:rPr>
          <w:lang w:val="en-US"/>
        </w:rPr>
        <w:t>: 263-276.</w:t>
      </w:r>
    </w:p>
    <w:p w:rsidR="000D626B" w:rsidRPr="00661D5D" w:rsidRDefault="000D626B" w:rsidP="00F44510">
      <w:pPr>
        <w:spacing w:line="240" w:lineRule="auto"/>
        <w:jc w:val="left"/>
        <w:rPr>
          <w:lang w:val="en-US"/>
        </w:rPr>
      </w:pPr>
    </w:p>
    <w:p w:rsidR="0042057C" w:rsidRPr="00661D5D" w:rsidRDefault="000D626B" w:rsidP="00F44510">
      <w:pPr>
        <w:spacing w:line="240" w:lineRule="auto"/>
        <w:jc w:val="left"/>
      </w:pPr>
      <w:proofErr w:type="spellStart"/>
      <w:r w:rsidRPr="005F5AA2">
        <w:rPr>
          <w:lang w:val="en-US"/>
        </w:rPr>
        <w:t>Zago</w:t>
      </w:r>
      <w:proofErr w:type="spellEnd"/>
      <w:r w:rsidRPr="005F5AA2">
        <w:rPr>
          <w:lang w:val="en-US"/>
        </w:rPr>
        <w:t xml:space="preserve">, A.P.P.; Pinto, K.C.R. 2005. </w:t>
      </w:r>
      <w:r w:rsidRPr="00661D5D">
        <w:t>Custo de oportunidade: polêmicas e provocações. IX Congresso Internacional de Custos. Florianópolis. S.C. Disponível em: &lt;http://www.intercostos.org/documentos/custos_588.pdf&gt;. Acesso em: ago. 2015.</w:t>
      </w:r>
    </w:p>
    <w:sectPr w:rsidR="0042057C" w:rsidRPr="00661D5D" w:rsidSect="00CA309B">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73" w:rsidRDefault="00025B73" w:rsidP="005F5FEB">
      <w:pPr>
        <w:spacing w:line="240" w:lineRule="auto"/>
      </w:pPr>
      <w:r>
        <w:separator/>
      </w:r>
    </w:p>
  </w:endnote>
  <w:endnote w:type="continuationSeparator" w:id="0">
    <w:p w:rsidR="00025B73" w:rsidRDefault="00025B73" w:rsidP="005F5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C5" w:rsidRDefault="00315BC5">
    <w:pPr>
      <w:pStyle w:val="Rodap"/>
    </w:pPr>
    <w:r w:rsidRPr="001446F8">
      <w:rPr>
        <w:sz w:val="16"/>
      </w:rPr>
      <w:fldChar w:fldCharType="begin"/>
    </w:r>
    <w:r w:rsidRPr="001446F8">
      <w:rPr>
        <w:sz w:val="16"/>
        <w:lang w:val="en-US"/>
      </w:rPr>
      <w:instrText>PAGE   \* MERGEFORMAT</w:instrText>
    </w:r>
    <w:r w:rsidRPr="001446F8">
      <w:rPr>
        <w:sz w:val="16"/>
      </w:rPr>
      <w:fldChar w:fldCharType="separate"/>
    </w:r>
    <w:r w:rsidR="00A232C4">
      <w:rPr>
        <w:noProof/>
        <w:sz w:val="16"/>
        <w:lang w:val="en-US"/>
      </w:rPr>
      <w:t>12</w:t>
    </w:r>
    <w:r w:rsidRPr="001446F8">
      <w:rPr>
        <w:sz w:val="16"/>
      </w:rPr>
      <w:fldChar w:fldCharType="end"/>
    </w:r>
    <w:r w:rsidRPr="001446F8">
      <w:rPr>
        <w:sz w:val="18"/>
        <w:lang w:val="en-US"/>
      </w:rPr>
      <w:t xml:space="preserve">                                        </w:t>
    </w:r>
    <w:r>
      <w:rPr>
        <w:sz w:val="18"/>
        <w:lang w:val="en-US"/>
      </w:rPr>
      <w:t xml:space="preserve">                               </w:t>
    </w:r>
    <w:r w:rsidRPr="001446F8">
      <w:rPr>
        <w:sz w:val="18"/>
        <w:lang w:val="en-US"/>
      </w:rPr>
      <w:t xml:space="preserve">                                               </w:t>
    </w:r>
    <w:r>
      <w:rPr>
        <w:sz w:val="18"/>
        <w:lang w:val="en-US"/>
      </w:rPr>
      <w:t xml:space="preserve">     </w:t>
    </w:r>
    <w:r w:rsidRPr="001446F8">
      <w:rPr>
        <w:b/>
        <w:i/>
        <w:sz w:val="16"/>
        <w:lang w:val="en-US"/>
      </w:rPr>
      <w:t xml:space="preserve">Rev. </w:t>
    </w:r>
    <w:proofErr w:type="spellStart"/>
    <w:r w:rsidRPr="001446F8">
      <w:rPr>
        <w:b/>
        <w:i/>
        <w:sz w:val="16"/>
        <w:lang w:val="en-US"/>
      </w:rPr>
      <w:t>iPecege</w:t>
    </w:r>
    <w:proofErr w:type="spellEnd"/>
    <w:r w:rsidRPr="001446F8">
      <w:rPr>
        <w:sz w:val="16"/>
        <w:lang w:val="en-US"/>
      </w:rPr>
      <w:t xml:space="preserve"> 2(</w:t>
    </w:r>
    <w:r>
      <w:rPr>
        <w:sz w:val="16"/>
        <w:lang w:val="en-US"/>
      </w:rPr>
      <w:t>3</w:t>
    </w:r>
    <w:r w:rsidRPr="001446F8">
      <w:rPr>
        <w:sz w:val="16"/>
        <w:lang w:val="en-US"/>
      </w:rPr>
      <w:t>): 7-2</w:t>
    </w:r>
    <w:r>
      <w:rPr>
        <w:sz w:val="16"/>
        <w:lang w:val="en-US"/>
      </w:rPr>
      <w:t>5</w:t>
    </w:r>
    <w:r w:rsidRPr="001446F8">
      <w:rPr>
        <w:sz w:val="16"/>
        <w:lang w:val="en-US"/>
      </w:rPr>
      <w:t>, 2016</w:t>
    </w:r>
    <w:r w:rsidRPr="001446F8">
      <w:rPr>
        <w:sz w:val="1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823955"/>
      <w:docPartObj>
        <w:docPartGallery w:val="Page Numbers (Bottom of Page)"/>
        <w:docPartUnique/>
      </w:docPartObj>
    </w:sdtPr>
    <w:sdtContent>
      <w:p w:rsidR="00315BC5" w:rsidRDefault="00315BC5" w:rsidP="008269E4">
        <w:pPr>
          <w:pStyle w:val="Rodap"/>
          <w:jc w:val="right"/>
        </w:pPr>
        <w:r w:rsidRPr="001446F8">
          <w:rPr>
            <w:b/>
            <w:i/>
            <w:sz w:val="16"/>
            <w:szCs w:val="16"/>
          </w:rPr>
          <w:t xml:space="preserve">Rev. </w:t>
        </w:r>
        <w:proofErr w:type="spellStart"/>
        <w:r w:rsidRPr="001446F8">
          <w:rPr>
            <w:b/>
            <w:i/>
            <w:sz w:val="16"/>
            <w:szCs w:val="16"/>
          </w:rPr>
          <w:t>iPecege</w:t>
        </w:r>
        <w:proofErr w:type="spellEnd"/>
        <w:r w:rsidRPr="001446F8">
          <w:rPr>
            <w:i/>
            <w:sz w:val="16"/>
            <w:szCs w:val="16"/>
          </w:rPr>
          <w:t xml:space="preserve"> 2(</w:t>
        </w:r>
        <w:r>
          <w:rPr>
            <w:i/>
            <w:sz w:val="16"/>
            <w:szCs w:val="16"/>
          </w:rPr>
          <w:t>3</w:t>
        </w:r>
        <w:r w:rsidRPr="001446F8">
          <w:rPr>
            <w:i/>
            <w:sz w:val="16"/>
            <w:szCs w:val="16"/>
          </w:rPr>
          <w:t>): 7-2</w:t>
        </w:r>
        <w:r>
          <w:rPr>
            <w:i/>
            <w:sz w:val="16"/>
            <w:szCs w:val="16"/>
          </w:rPr>
          <w:t>5</w:t>
        </w:r>
        <w:r w:rsidRPr="001446F8">
          <w:rPr>
            <w:i/>
            <w:sz w:val="16"/>
            <w:szCs w:val="16"/>
          </w:rPr>
          <w:t xml:space="preserve">, 2016   </w:t>
        </w:r>
        <w:r>
          <w:rPr>
            <w:i/>
            <w:sz w:val="16"/>
            <w:szCs w:val="16"/>
          </w:rPr>
          <w:t xml:space="preserve">    </w:t>
        </w:r>
        <w:r w:rsidRPr="001446F8">
          <w:rPr>
            <w:i/>
            <w:sz w:val="16"/>
            <w:szCs w:val="16"/>
          </w:rPr>
          <w:t xml:space="preserve">                                                                                                                </w:t>
        </w:r>
        <w:r>
          <w:rPr>
            <w:i/>
            <w:sz w:val="16"/>
            <w:szCs w:val="16"/>
          </w:rPr>
          <w:t xml:space="preserve">                  </w:t>
        </w:r>
        <w:r w:rsidRPr="001446F8">
          <w:rPr>
            <w:i/>
            <w:sz w:val="16"/>
            <w:szCs w:val="16"/>
          </w:rPr>
          <w:t xml:space="preserve"> </w:t>
        </w:r>
        <w:r w:rsidRPr="001446F8">
          <w:rPr>
            <w:sz w:val="16"/>
          </w:rPr>
          <w:fldChar w:fldCharType="begin"/>
        </w:r>
        <w:r w:rsidRPr="001446F8">
          <w:rPr>
            <w:sz w:val="16"/>
          </w:rPr>
          <w:instrText>PAGE   \* MERGEFORMAT</w:instrText>
        </w:r>
        <w:r w:rsidRPr="001446F8">
          <w:rPr>
            <w:sz w:val="16"/>
          </w:rPr>
          <w:fldChar w:fldCharType="separate"/>
        </w:r>
        <w:r w:rsidR="00A232C4">
          <w:rPr>
            <w:noProof/>
            <w:sz w:val="16"/>
          </w:rPr>
          <w:t>11</w:t>
        </w:r>
        <w:r w:rsidRPr="001446F8">
          <w:rPr>
            <w:sz w:val="16"/>
          </w:rPr>
          <w:fldChar w:fldCharType="end"/>
        </w:r>
      </w:p>
    </w:sdtContent>
  </w:sdt>
  <w:p w:rsidR="00315BC5" w:rsidRDefault="00315BC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54946"/>
      <w:docPartObj>
        <w:docPartGallery w:val="Page Numbers (Bottom of Page)"/>
        <w:docPartUnique/>
      </w:docPartObj>
    </w:sdtPr>
    <w:sdtEndPr>
      <w:rPr>
        <w:sz w:val="16"/>
      </w:rPr>
    </w:sdtEndPr>
    <w:sdtContent>
      <w:p w:rsidR="00315BC5" w:rsidRPr="00CA309B" w:rsidRDefault="00315BC5">
        <w:pPr>
          <w:pStyle w:val="Rodap"/>
          <w:jc w:val="right"/>
          <w:rPr>
            <w:sz w:val="16"/>
          </w:rPr>
        </w:pPr>
        <w:r w:rsidRPr="00CA309B">
          <w:rPr>
            <w:sz w:val="16"/>
          </w:rPr>
          <w:t>7</w:t>
        </w:r>
      </w:p>
    </w:sdtContent>
  </w:sdt>
  <w:p w:rsidR="00315BC5" w:rsidRDefault="00315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73" w:rsidRDefault="00025B73" w:rsidP="005F5FEB">
      <w:pPr>
        <w:spacing w:line="240" w:lineRule="auto"/>
      </w:pPr>
      <w:r>
        <w:separator/>
      </w:r>
    </w:p>
  </w:footnote>
  <w:footnote w:type="continuationSeparator" w:id="0">
    <w:p w:rsidR="00025B73" w:rsidRDefault="00025B73" w:rsidP="005F5FEB">
      <w:pPr>
        <w:spacing w:line="240" w:lineRule="auto"/>
      </w:pPr>
      <w:r>
        <w:continuationSeparator/>
      </w:r>
    </w:p>
  </w:footnote>
  <w:footnote w:id="1">
    <w:p w:rsidR="00315BC5" w:rsidRPr="00C951DE" w:rsidRDefault="00315BC5" w:rsidP="000368A3">
      <w:pPr>
        <w:pStyle w:val="Textodenotaderodap"/>
        <w:rPr>
          <w:sz w:val="16"/>
          <w:szCs w:val="16"/>
        </w:rPr>
      </w:pPr>
      <w:r>
        <w:rPr>
          <w:rStyle w:val="Refdenotaderodap"/>
        </w:rPr>
        <w:footnoteRef/>
      </w:r>
      <w:r>
        <w:t xml:space="preserve"> </w:t>
      </w:r>
      <w:r>
        <w:rPr>
          <w:sz w:val="16"/>
          <w:szCs w:val="16"/>
        </w:rPr>
        <w:t>Autor correspondente</w:t>
      </w:r>
      <w:r w:rsidRPr="00BA4EBF">
        <w:t xml:space="preserve"> </w:t>
      </w:r>
      <w:r w:rsidRPr="00BA4EBF">
        <w:rPr>
          <w:sz w:val="16"/>
          <w:szCs w:val="16"/>
        </w:rPr>
        <w:t>&lt;aline.magalhaes1989@gmail.com&gt;</w:t>
      </w:r>
    </w:p>
    <w:p w:rsidR="00315BC5" w:rsidRPr="00C951DE" w:rsidRDefault="00315BC5" w:rsidP="000368A3">
      <w:pPr>
        <w:pStyle w:val="Textodenotaderodap"/>
        <w:rPr>
          <w:sz w:val="16"/>
          <w:szCs w:val="16"/>
        </w:rPr>
      </w:pPr>
      <w:r w:rsidRPr="00C951DE">
        <w:rPr>
          <w:sz w:val="16"/>
          <w:szCs w:val="16"/>
        </w:rPr>
        <w:t>Enviado:</w:t>
      </w:r>
      <w:r>
        <w:rPr>
          <w:sz w:val="16"/>
          <w:szCs w:val="16"/>
        </w:rPr>
        <w:t xml:space="preserve"> 19 abr. 2016</w:t>
      </w:r>
    </w:p>
    <w:p w:rsidR="00315BC5" w:rsidRDefault="00315BC5">
      <w:pPr>
        <w:pStyle w:val="Textodenotaderodap"/>
      </w:pPr>
      <w:r w:rsidRPr="00C951DE">
        <w:rPr>
          <w:sz w:val="16"/>
          <w:szCs w:val="16"/>
        </w:rPr>
        <w:t>Aprovado:</w:t>
      </w:r>
      <w:r>
        <w:rPr>
          <w:sz w:val="16"/>
          <w:szCs w:val="16"/>
        </w:rPr>
        <w:t xml:space="preserve"> 30 mai. 2016</w:t>
      </w:r>
    </w:p>
  </w:footnote>
  <w:footnote w:id="2">
    <w:p w:rsidR="00315BC5" w:rsidRPr="00C529FD" w:rsidRDefault="00315BC5" w:rsidP="00C529FD">
      <w:pPr>
        <w:spacing w:line="240" w:lineRule="auto"/>
        <w:jc w:val="left"/>
        <w:rPr>
          <w:sz w:val="16"/>
          <w:szCs w:val="16"/>
        </w:rPr>
      </w:pPr>
      <w:r>
        <w:rPr>
          <w:rStyle w:val="Refdenotaderodap"/>
        </w:rPr>
        <w:footnoteRef/>
      </w:r>
      <w:r>
        <w:t xml:space="preserve"> </w:t>
      </w:r>
      <w:r w:rsidRPr="00C529FD">
        <w:rPr>
          <w:sz w:val="16"/>
          <w:szCs w:val="16"/>
          <w:shd w:val="clear" w:color="auto" w:fill="FFFFFF"/>
        </w:rPr>
        <w:t>Associação Rural dos Fornecedores e Plantadores de Cana da Média Sorocabana [ASSOCANA]. 2014. Custo de produção para preparo de solo, plantio e tratos culturais de cana-de-açúcar. Dados cedidos pela ASSOCANA à autora correspondente.</w:t>
      </w:r>
    </w:p>
  </w:footnote>
  <w:footnote w:id="3">
    <w:p w:rsidR="00315BC5" w:rsidRDefault="00315BC5">
      <w:pPr>
        <w:pStyle w:val="Textodenotaderodap"/>
      </w:pPr>
      <w:r>
        <w:rPr>
          <w:rStyle w:val="Refdenotaderodap"/>
        </w:rPr>
        <w:footnoteRef/>
      </w:r>
      <w:r>
        <w:t xml:space="preserve"> </w:t>
      </w:r>
      <w:r w:rsidRPr="00C529FD">
        <w:rPr>
          <w:sz w:val="16"/>
          <w:szCs w:val="16"/>
          <w:shd w:val="clear" w:color="auto" w:fill="FFFFFF"/>
        </w:rPr>
        <w:t>Associação Rural dos Fornecedores e Plantadores de Cana da Média Sorocabana [ASSOCANA]. 2014. Custo de produção para preparo de solo, plantio e tratos culturais de cana-de-açúcar. Dados cedidos pela ASSOCANA à autora correspondente.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C5" w:rsidRPr="00742CC3" w:rsidRDefault="00315BC5" w:rsidP="009C048C">
    <w:pPr>
      <w:spacing w:before="240" w:line="240" w:lineRule="auto"/>
      <w:jc w:val="center"/>
      <w:rPr>
        <w:b/>
        <w:sz w:val="18"/>
        <w:lang w:val="es-ES_tradnl"/>
      </w:rPr>
    </w:pPr>
    <w:r>
      <w:rPr>
        <w:noProof/>
      </w:rPr>
      <w:pict w14:anchorId="2009CED3">
        <v:line id="Conector reto 2" o:spid="_x0000_s2049" style="position:absolute;left:0;text-align:left;flip:y;z-index:251657728;visibility:visible" from="-1.35pt,22.6pt" to="431.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" strokecolor="#7f7f7f">
          <o:lock v:ext="edit" shapetype="f"/>
        </v:line>
      </w:pict>
    </w:r>
    <w:proofErr w:type="spellStart"/>
    <w:r w:rsidRPr="00750945">
      <w:rPr>
        <w:color w:val="7F7F7F"/>
        <w:sz w:val="18"/>
        <w:lang w:val="es-ES_tradnl"/>
      </w:rPr>
      <w:t>Rentabilidade</w:t>
    </w:r>
    <w:proofErr w:type="spellEnd"/>
    <w:r w:rsidRPr="00750945">
      <w:rPr>
        <w:color w:val="7F7F7F"/>
        <w:sz w:val="18"/>
        <w:lang w:val="es-ES_tradnl"/>
      </w:rPr>
      <w:t xml:space="preserve"> da </w:t>
    </w:r>
    <w:proofErr w:type="spellStart"/>
    <w:r w:rsidRPr="00750945">
      <w:rPr>
        <w:color w:val="7F7F7F"/>
        <w:sz w:val="18"/>
        <w:lang w:val="es-ES_tradnl"/>
      </w:rPr>
      <w:t>produção</w:t>
    </w:r>
    <w:proofErr w:type="spellEnd"/>
    <w:r w:rsidRPr="00750945">
      <w:rPr>
        <w:color w:val="7F7F7F"/>
        <w:sz w:val="18"/>
        <w:lang w:val="es-ES_tradnl"/>
      </w:rPr>
      <w:t xml:space="preserve"> da cana-de-</w:t>
    </w:r>
    <w:proofErr w:type="spellStart"/>
    <w:r w:rsidRPr="00750945">
      <w:rPr>
        <w:color w:val="7F7F7F"/>
        <w:sz w:val="18"/>
        <w:lang w:val="es-ES_tradnl"/>
      </w:rPr>
      <w:t>açúcar</w:t>
    </w:r>
    <w:proofErr w:type="spellEnd"/>
    <w:r w:rsidRPr="00750945">
      <w:rPr>
        <w:color w:val="7F7F7F"/>
        <w:sz w:val="18"/>
        <w:lang w:val="es-ES_tradnl"/>
      </w:rPr>
      <w:t xml:space="preserve"> </w:t>
    </w:r>
    <w:proofErr w:type="spellStart"/>
    <w:r w:rsidRPr="00750945">
      <w:rPr>
        <w:color w:val="7F7F7F"/>
        <w:sz w:val="18"/>
        <w:lang w:val="es-ES_tradnl"/>
      </w:rPr>
      <w:t>em</w:t>
    </w:r>
    <w:proofErr w:type="spellEnd"/>
    <w:r w:rsidRPr="00750945">
      <w:rPr>
        <w:color w:val="7F7F7F"/>
        <w:sz w:val="18"/>
        <w:lang w:val="es-ES_tradnl"/>
      </w:rPr>
      <w:t xml:space="preserve"> sistema</w:t>
    </w:r>
    <w:r>
      <w:rPr>
        <w:color w:val="7F7F7F"/>
        <w:sz w:val="18"/>
        <w:lang w:val="es-ES_tradnl"/>
      </w:rPr>
      <w:t xml:space="preserve"> de </w:t>
    </w:r>
    <w:proofErr w:type="spellStart"/>
    <w:r>
      <w:rPr>
        <w:color w:val="7F7F7F"/>
        <w:sz w:val="18"/>
        <w:lang w:val="es-ES_tradnl"/>
      </w:rPr>
      <w:t>arrendamento</w:t>
    </w:r>
    <w:proofErr w:type="spellEnd"/>
    <w:r>
      <w:rPr>
        <w:color w:val="7F7F7F"/>
        <w:sz w:val="18"/>
        <w:lang w:val="es-ES_tradnl"/>
      </w:rPr>
      <w:t xml:space="preserve"> e </w:t>
    </w:r>
    <w:proofErr w:type="spellStart"/>
    <w:r>
      <w:rPr>
        <w:color w:val="7F7F7F"/>
        <w:sz w:val="18"/>
        <w:lang w:val="es-ES_tradnl"/>
      </w:rPr>
      <w:t>fornecimento</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C5" w:rsidRPr="006046E4" w:rsidRDefault="00315BC5" w:rsidP="006046E4">
    <w:pPr>
      <w:spacing w:before="240" w:line="240" w:lineRule="auto"/>
      <w:jc w:val="center"/>
      <w:rPr>
        <w:b/>
        <w:sz w:val="18"/>
        <w:lang w:val="es-ES_tradnl"/>
      </w:rPr>
    </w:pPr>
    <w:r>
      <w:rPr>
        <w:noProof/>
      </w:rPr>
      <w:pict w14:anchorId="76468EA2">
        <v:line id="_x0000_s2050" style="position:absolute;left:0;text-align:left;flip:y;z-index:251658752;visibility:visible" from="-1.35pt,22.6pt" to="431.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" strokecolor="#7f7f7f">
          <o:lock v:ext="edit" shapetype="f"/>
        </v:line>
      </w:pict>
    </w:r>
    <w:r>
      <w:rPr>
        <w:color w:val="7F7F7F"/>
        <w:sz w:val="18"/>
        <w:lang w:val="es-ES_tradnl"/>
      </w:rPr>
      <w:t>A.M. Galindo, M.E.A. Carvalho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C5" w:rsidRDefault="00315BC5" w:rsidP="00A61FCC">
    <w:pPr>
      <w:pStyle w:val="Cabealho"/>
      <w:jc w:val="right"/>
    </w:pPr>
    <w:r w:rsidRPr="001446F8">
      <w:rPr>
        <w:i/>
        <w:noProof/>
        <w:color w:val="000000" w:themeColor="text1"/>
        <w:sz w:val="18"/>
        <w:szCs w:val="18"/>
        <w:lang w:eastAsia="pt-BR"/>
      </w:rPr>
      <w:drawing>
        <wp:anchor distT="0" distB="0" distL="114300" distR="114300" simplePos="0" relativeHeight="251656704" behindDoc="0" locked="0" layoutInCell="1" allowOverlap="1">
          <wp:simplePos x="0" y="0"/>
          <wp:positionH relativeFrom="margin">
            <wp:posOffset>123825</wp:posOffset>
          </wp:positionH>
          <wp:positionV relativeFrom="margin">
            <wp:posOffset>-735330</wp:posOffset>
          </wp:positionV>
          <wp:extent cx="1001395" cy="435610"/>
          <wp:effectExtent l="0" t="0" r="8255" b="254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395" cy="435610"/>
                  </a:xfrm>
                  <a:prstGeom prst="rect">
                    <a:avLst/>
                  </a:prstGeom>
                </pic:spPr>
              </pic:pic>
            </a:graphicData>
          </a:graphic>
        </wp:anchor>
      </w:drawing>
    </w:r>
    <w:r w:rsidRPr="001446F8">
      <w:rPr>
        <w:i/>
        <w:color w:val="595959" w:themeColor="text1" w:themeTint="A6"/>
        <w:sz w:val="18"/>
        <w:szCs w:val="18"/>
      </w:rPr>
      <w:t xml:space="preserve">Revista </w:t>
    </w:r>
    <w:proofErr w:type="spellStart"/>
    <w:r w:rsidRPr="001446F8">
      <w:rPr>
        <w:i/>
        <w:color w:val="595959" w:themeColor="text1" w:themeTint="A6"/>
        <w:sz w:val="18"/>
        <w:szCs w:val="18"/>
      </w:rPr>
      <w:t>iPecege</w:t>
    </w:r>
    <w:proofErr w:type="spellEnd"/>
    <w:r w:rsidRPr="001446F8">
      <w:rPr>
        <w:i/>
        <w:color w:val="595959" w:themeColor="text1" w:themeTint="A6"/>
        <w:sz w:val="18"/>
        <w:szCs w:val="18"/>
      </w:rPr>
      <w:t xml:space="preserve"> 2(</w:t>
    </w:r>
    <w:r>
      <w:rPr>
        <w:i/>
        <w:color w:val="595959" w:themeColor="text1" w:themeTint="A6"/>
        <w:sz w:val="18"/>
        <w:szCs w:val="18"/>
      </w:rPr>
      <w:t>3</w:t>
    </w:r>
    <w:r w:rsidRPr="001446F8">
      <w:rPr>
        <w:i/>
        <w:color w:val="595959" w:themeColor="text1" w:themeTint="A6"/>
        <w:sz w:val="18"/>
        <w:szCs w:val="18"/>
      </w:rPr>
      <w:t>): 7-2</w:t>
    </w:r>
    <w:r>
      <w:rPr>
        <w:i/>
        <w:color w:val="595959" w:themeColor="text1" w:themeTint="A6"/>
        <w:sz w:val="18"/>
        <w:szCs w:val="18"/>
      </w:rPr>
      <w:t>5</w:t>
    </w:r>
    <w:r w:rsidRPr="001446F8">
      <w:rPr>
        <w:i/>
        <w:color w:val="595959" w:themeColor="text1" w:themeTint="A6"/>
        <w:sz w:val="18"/>
        <w:szCs w:val="18"/>
      </w:rPr>
      <w:t>, 2016</w:t>
    </w:r>
  </w:p>
  <w:p w:rsidR="00315BC5" w:rsidRPr="00A61FCC" w:rsidRDefault="00315BC5" w:rsidP="00A61FC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147F67"/>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646"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5FEB"/>
    <w:rsid w:val="00002D22"/>
    <w:rsid w:val="00002FED"/>
    <w:rsid w:val="00010625"/>
    <w:rsid w:val="000121A2"/>
    <w:rsid w:val="000129BF"/>
    <w:rsid w:val="00024D6C"/>
    <w:rsid w:val="00025B73"/>
    <w:rsid w:val="00033ABE"/>
    <w:rsid w:val="000368A3"/>
    <w:rsid w:val="000414DF"/>
    <w:rsid w:val="00042541"/>
    <w:rsid w:val="0004394A"/>
    <w:rsid w:val="0006184C"/>
    <w:rsid w:val="0006582A"/>
    <w:rsid w:val="00067D52"/>
    <w:rsid w:val="00077573"/>
    <w:rsid w:val="00085E3D"/>
    <w:rsid w:val="000901B8"/>
    <w:rsid w:val="000A3D89"/>
    <w:rsid w:val="000A4356"/>
    <w:rsid w:val="000A62AD"/>
    <w:rsid w:val="000A7332"/>
    <w:rsid w:val="000B087E"/>
    <w:rsid w:val="000B14DF"/>
    <w:rsid w:val="000B6C41"/>
    <w:rsid w:val="000C043D"/>
    <w:rsid w:val="000C1B1F"/>
    <w:rsid w:val="000C3B9C"/>
    <w:rsid w:val="000C5687"/>
    <w:rsid w:val="000D626B"/>
    <w:rsid w:val="000E6826"/>
    <w:rsid w:val="000F06D0"/>
    <w:rsid w:val="000F1114"/>
    <w:rsid w:val="000F3312"/>
    <w:rsid w:val="000F5025"/>
    <w:rsid w:val="000F7383"/>
    <w:rsid w:val="00100F45"/>
    <w:rsid w:val="001179F3"/>
    <w:rsid w:val="00131C61"/>
    <w:rsid w:val="00141A83"/>
    <w:rsid w:val="00162388"/>
    <w:rsid w:val="001646F4"/>
    <w:rsid w:val="001650D8"/>
    <w:rsid w:val="00175152"/>
    <w:rsid w:val="0017623E"/>
    <w:rsid w:val="00186FBD"/>
    <w:rsid w:val="00193C69"/>
    <w:rsid w:val="00194CA4"/>
    <w:rsid w:val="001A2B26"/>
    <w:rsid w:val="001B29CD"/>
    <w:rsid w:val="001B7C5F"/>
    <w:rsid w:val="001D595A"/>
    <w:rsid w:val="001D7AA6"/>
    <w:rsid w:val="001E108A"/>
    <w:rsid w:val="001E6B8D"/>
    <w:rsid w:val="001F3876"/>
    <w:rsid w:val="001F4B38"/>
    <w:rsid w:val="001F5096"/>
    <w:rsid w:val="001F677B"/>
    <w:rsid w:val="002013ED"/>
    <w:rsid w:val="002078DF"/>
    <w:rsid w:val="0021148E"/>
    <w:rsid w:val="002138F6"/>
    <w:rsid w:val="00214A52"/>
    <w:rsid w:val="002229AE"/>
    <w:rsid w:val="00222FB8"/>
    <w:rsid w:val="00226CE1"/>
    <w:rsid w:val="00244CFB"/>
    <w:rsid w:val="0024557D"/>
    <w:rsid w:val="00246075"/>
    <w:rsid w:val="00246B32"/>
    <w:rsid w:val="00247798"/>
    <w:rsid w:val="00250A1F"/>
    <w:rsid w:val="002520DC"/>
    <w:rsid w:val="002543C6"/>
    <w:rsid w:val="00266914"/>
    <w:rsid w:val="00273955"/>
    <w:rsid w:val="00280876"/>
    <w:rsid w:val="002875D3"/>
    <w:rsid w:val="00290250"/>
    <w:rsid w:val="002A09D2"/>
    <w:rsid w:val="002A7449"/>
    <w:rsid w:val="002C0073"/>
    <w:rsid w:val="002D3B35"/>
    <w:rsid w:val="002E44A6"/>
    <w:rsid w:val="002F2245"/>
    <w:rsid w:val="00302770"/>
    <w:rsid w:val="00311C33"/>
    <w:rsid w:val="00315BC5"/>
    <w:rsid w:val="00320448"/>
    <w:rsid w:val="00322DA1"/>
    <w:rsid w:val="00323A4C"/>
    <w:rsid w:val="0032643F"/>
    <w:rsid w:val="0033468D"/>
    <w:rsid w:val="00340924"/>
    <w:rsid w:val="00342510"/>
    <w:rsid w:val="003474B6"/>
    <w:rsid w:val="00351961"/>
    <w:rsid w:val="003542E3"/>
    <w:rsid w:val="00362B83"/>
    <w:rsid w:val="00363932"/>
    <w:rsid w:val="003678EC"/>
    <w:rsid w:val="00372251"/>
    <w:rsid w:val="00375D75"/>
    <w:rsid w:val="00382BEB"/>
    <w:rsid w:val="00383658"/>
    <w:rsid w:val="0038732F"/>
    <w:rsid w:val="00394486"/>
    <w:rsid w:val="003A75AD"/>
    <w:rsid w:val="003C0770"/>
    <w:rsid w:val="003C333F"/>
    <w:rsid w:val="003D3450"/>
    <w:rsid w:val="003E150B"/>
    <w:rsid w:val="003E36CE"/>
    <w:rsid w:val="003E64D0"/>
    <w:rsid w:val="003F02C0"/>
    <w:rsid w:val="00400489"/>
    <w:rsid w:val="00402E00"/>
    <w:rsid w:val="004031D8"/>
    <w:rsid w:val="0040349A"/>
    <w:rsid w:val="0040526B"/>
    <w:rsid w:val="00413984"/>
    <w:rsid w:val="00414272"/>
    <w:rsid w:val="00420071"/>
    <w:rsid w:val="0042057C"/>
    <w:rsid w:val="00420C9A"/>
    <w:rsid w:val="004242F4"/>
    <w:rsid w:val="00426CC3"/>
    <w:rsid w:val="00427DE2"/>
    <w:rsid w:val="00432B13"/>
    <w:rsid w:val="00433E63"/>
    <w:rsid w:val="004344B3"/>
    <w:rsid w:val="004347EF"/>
    <w:rsid w:val="004403A9"/>
    <w:rsid w:val="00441FD4"/>
    <w:rsid w:val="00444882"/>
    <w:rsid w:val="00445058"/>
    <w:rsid w:val="00466F81"/>
    <w:rsid w:val="00467C3B"/>
    <w:rsid w:val="00470EB2"/>
    <w:rsid w:val="0047191C"/>
    <w:rsid w:val="00471D21"/>
    <w:rsid w:val="004729BB"/>
    <w:rsid w:val="00473CFE"/>
    <w:rsid w:val="004863DD"/>
    <w:rsid w:val="00487BCD"/>
    <w:rsid w:val="004B0852"/>
    <w:rsid w:val="004B1477"/>
    <w:rsid w:val="004B3DF1"/>
    <w:rsid w:val="004B570C"/>
    <w:rsid w:val="004B6697"/>
    <w:rsid w:val="004B70BE"/>
    <w:rsid w:val="004E2E96"/>
    <w:rsid w:val="004E57CD"/>
    <w:rsid w:val="0050685E"/>
    <w:rsid w:val="00507D1C"/>
    <w:rsid w:val="005112CC"/>
    <w:rsid w:val="005237DE"/>
    <w:rsid w:val="005253E1"/>
    <w:rsid w:val="00526665"/>
    <w:rsid w:val="00527BBF"/>
    <w:rsid w:val="005325A6"/>
    <w:rsid w:val="005502EC"/>
    <w:rsid w:val="00551C0D"/>
    <w:rsid w:val="00557DD8"/>
    <w:rsid w:val="00561271"/>
    <w:rsid w:val="005651B9"/>
    <w:rsid w:val="00584676"/>
    <w:rsid w:val="0058770B"/>
    <w:rsid w:val="005905F2"/>
    <w:rsid w:val="00590B67"/>
    <w:rsid w:val="00591F50"/>
    <w:rsid w:val="00596B64"/>
    <w:rsid w:val="005A0331"/>
    <w:rsid w:val="005A05CB"/>
    <w:rsid w:val="005A0D62"/>
    <w:rsid w:val="005A1EC2"/>
    <w:rsid w:val="005A2BA8"/>
    <w:rsid w:val="005A2F80"/>
    <w:rsid w:val="005A4188"/>
    <w:rsid w:val="005A4624"/>
    <w:rsid w:val="005B1715"/>
    <w:rsid w:val="005B2400"/>
    <w:rsid w:val="005B3614"/>
    <w:rsid w:val="005B3BCF"/>
    <w:rsid w:val="005B5F6C"/>
    <w:rsid w:val="005C0B45"/>
    <w:rsid w:val="005C4E50"/>
    <w:rsid w:val="005D35E7"/>
    <w:rsid w:val="005D758E"/>
    <w:rsid w:val="005E29E0"/>
    <w:rsid w:val="005E318E"/>
    <w:rsid w:val="005E5D89"/>
    <w:rsid w:val="005F29F8"/>
    <w:rsid w:val="005F4EB3"/>
    <w:rsid w:val="005F5AA2"/>
    <w:rsid w:val="005F5FEB"/>
    <w:rsid w:val="005F688D"/>
    <w:rsid w:val="00602AB7"/>
    <w:rsid w:val="00603F98"/>
    <w:rsid w:val="006046E4"/>
    <w:rsid w:val="006050E1"/>
    <w:rsid w:val="006226C6"/>
    <w:rsid w:val="0062319A"/>
    <w:rsid w:val="00626BF0"/>
    <w:rsid w:val="00627300"/>
    <w:rsid w:val="00627ABB"/>
    <w:rsid w:val="006309F4"/>
    <w:rsid w:val="00630FC0"/>
    <w:rsid w:val="0063124C"/>
    <w:rsid w:val="00632568"/>
    <w:rsid w:val="0063675A"/>
    <w:rsid w:val="00636D01"/>
    <w:rsid w:val="00642A9C"/>
    <w:rsid w:val="00646CDC"/>
    <w:rsid w:val="00647DBF"/>
    <w:rsid w:val="0065162E"/>
    <w:rsid w:val="00652759"/>
    <w:rsid w:val="00661D5D"/>
    <w:rsid w:val="00683985"/>
    <w:rsid w:val="00683BB3"/>
    <w:rsid w:val="00684110"/>
    <w:rsid w:val="00687D18"/>
    <w:rsid w:val="00687EB9"/>
    <w:rsid w:val="00695D27"/>
    <w:rsid w:val="006A5AD0"/>
    <w:rsid w:val="006B7A88"/>
    <w:rsid w:val="006C4FD4"/>
    <w:rsid w:val="006D05CD"/>
    <w:rsid w:val="006D1962"/>
    <w:rsid w:val="006D32A2"/>
    <w:rsid w:val="006D6707"/>
    <w:rsid w:val="006D7365"/>
    <w:rsid w:val="006D7A7F"/>
    <w:rsid w:val="006D7FA6"/>
    <w:rsid w:val="006E5D44"/>
    <w:rsid w:val="006F2620"/>
    <w:rsid w:val="006F6886"/>
    <w:rsid w:val="006F7EBA"/>
    <w:rsid w:val="007028AE"/>
    <w:rsid w:val="00712E40"/>
    <w:rsid w:val="00713C0C"/>
    <w:rsid w:val="00715294"/>
    <w:rsid w:val="00721949"/>
    <w:rsid w:val="007243DB"/>
    <w:rsid w:val="00731468"/>
    <w:rsid w:val="00742CC3"/>
    <w:rsid w:val="007433D4"/>
    <w:rsid w:val="0074342F"/>
    <w:rsid w:val="00747C88"/>
    <w:rsid w:val="00750945"/>
    <w:rsid w:val="00751837"/>
    <w:rsid w:val="00753001"/>
    <w:rsid w:val="007543C5"/>
    <w:rsid w:val="00767B94"/>
    <w:rsid w:val="0077465F"/>
    <w:rsid w:val="007773CA"/>
    <w:rsid w:val="00781C42"/>
    <w:rsid w:val="00783C63"/>
    <w:rsid w:val="0078405D"/>
    <w:rsid w:val="00791BFD"/>
    <w:rsid w:val="00795319"/>
    <w:rsid w:val="007A2A3C"/>
    <w:rsid w:val="007A658E"/>
    <w:rsid w:val="007A70CE"/>
    <w:rsid w:val="007A7472"/>
    <w:rsid w:val="007A74F4"/>
    <w:rsid w:val="007B0806"/>
    <w:rsid w:val="007B5A0F"/>
    <w:rsid w:val="007C3044"/>
    <w:rsid w:val="007E1687"/>
    <w:rsid w:val="007E290A"/>
    <w:rsid w:val="007F5053"/>
    <w:rsid w:val="00811A4F"/>
    <w:rsid w:val="00812949"/>
    <w:rsid w:val="0081477F"/>
    <w:rsid w:val="00815DFF"/>
    <w:rsid w:val="00815E13"/>
    <w:rsid w:val="00816F8D"/>
    <w:rsid w:val="0082137B"/>
    <w:rsid w:val="008259B0"/>
    <w:rsid w:val="008269E4"/>
    <w:rsid w:val="00834C31"/>
    <w:rsid w:val="00834D05"/>
    <w:rsid w:val="00836CE1"/>
    <w:rsid w:val="0084026F"/>
    <w:rsid w:val="00842D35"/>
    <w:rsid w:val="008443FF"/>
    <w:rsid w:val="00854FA7"/>
    <w:rsid w:val="00865203"/>
    <w:rsid w:val="00870BCA"/>
    <w:rsid w:val="0087157A"/>
    <w:rsid w:val="00877E14"/>
    <w:rsid w:val="00882B6F"/>
    <w:rsid w:val="00886138"/>
    <w:rsid w:val="00886CFD"/>
    <w:rsid w:val="008923FD"/>
    <w:rsid w:val="00893BC3"/>
    <w:rsid w:val="008A1677"/>
    <w:rsid w:val="008A3CF6"/>
    <w:rsid w:val="008A6E2F"/>
    <w:rsid w:val="008A6FB5"/>
    <w:rsid w:val="008B14D8"/>
    <w:rsid w:val="008B4775"/>
    <w:rsid w:val="008B5BBC"/>
    <w:rsid w:val="008B7756"/>
    <w:rsid w:val="008C5578"/>
    <w:rsid w:val="008E02ED"/>
    <w:rsid w:val="008F4149"/>
    <w:rsid w:val="008F5FB8"/>
    <w:rsid w:val="00914618"/>
    <w:rsid w:val="00916A5A"/>
    <w:rsid w:val="00917196"/>
    <w:rsid w:val="009248B0"/>
    <w:rsid w:val="00932E28"/>
    <w:rsid w:val="0094025E"/>
    <w:rsid w:val="00947743"/>
    <w:rsid w:val="009509DF"/>
    <w:rsid w:val="00962B7B"/>
    <w:rsid w:val="00964DE5"/>
    <w:rsid w:val="00971BF8"/>
    <w:rsid w:val="00973982"/>
    <w:rsid w:val="00981503"/>
    <w:rsid w:val="009924AC"/>
    <w:rsid w:val="009934FC"/>
    <w:rsid w:val="009A0633"/>
    <w:rsid w:val="009C048C"/>
    <w:rsid w:val="009C1A98"/>
    <w:rsid w:val="009C3771"/>
    <w:rsid w:val="009C4A87"/>
    <w:rsid w:val="009D1F35"/>
    <w:rsid w:val="009D7441"/>
    <w:rsid w:val="009D7C2D"/>
    <w:rsid w:val="009E6355"/>
    <w:rsid w:val="009F43AE"/>
    <w:rsid w:val="00A045BD"/>
    <w:rsid w:val="00A0572A"/>
    <w:rsid w:val="00A06683"/>
    <w:rsid w:val="00A143E9"/>
    <w:rsid w:val="00A20FD5"/>
    <w:rsid w:val="00A232C4"/>
    <w:rsid w:val="00A46080"/>
    <w:rsid w:val="00A464FF"/>
    <w:rsid w:val="00A47C29"/>
    <w:rsid w:val="00A47DAE"/>
    <w:rsid w:val="00A502D4"/>
    <w:rsid w:val="00A51BEA"/>
    <w:rsid w:val="00A543B9"/>
    <w:rsid w:val="00A61FCC"/>
    <w:rsid w:val="00A74221"/>
    <w:rsid w:val="00A74546"/>
    <w:rsid w:val="00A7611A"/>
    <w:rsid w:val="00A9450A"/>
    <w:rsid w:val="00AA1BE4"/>
    <w:rsid w:val="00AA1EDC"/>
    <w:rsid w:val="00AA6708"/>
    <w:rsid w:val="00AB3AFC"/>
    <w:rsid w:val="00AC004F"/>
    <w:rsid w:val="00AE2179"/>
    <w:rsid w:val="00AF572B"/>
    <w:rsid w:val="00B0110A"/>
    <w:rsid w:val="00B07C8A"/>
    <w:rsid w:val="00B13E13"/>
    <w:rsid w:val="00B15503"/>
    <w:rsid w:val="00B15FD9"/>
    <w:rsid w:val="00B21ADB"/>
    <w:rsid w:val="00B25562"/>
    <w:rsid w:val="00B345A4"/>
    <w:rsid w:val="00B35F3F"/>
    <w:rsid w:val="00B366FE"/>
    <w:rsid w:val="00B40A0A"/>
    <w:rsid w:val="00B4331F"/>
    <w:rsid w:val="00B524B0"/>
    <w:rsid w:val="00B5289B"/>
    <w:rsid w:val="00B5462E"/>
    <w:rsid w:val="00B55B01"/>
    <w:rsid w:val="00B5612B"/>
    <w:rsid w:val="00B61CA2"/>
    <w:rsid w:val="00B71566"/>
    <w:rsid w:val="00B73815"/>
    <w:rsid w:val="00B75E60"/>
    <w:rsid w:val="00B84810"/>
    <w:rsid w:val="00BA46B0"/>
    <w:rsid w:val="00BA4EBF"/>
    <w:rsid w:val="00BA6DB1"/>
    <w:rsid w:val="00BB309B"/>
    <w:rsid w:val="00BB341C"/>
    <w:rsid w:val="00BB3B0B"/>
    <w:rsid w:val="00BB4B6C"/>
    <w:rsid w:val="00BB536E"/>
    <w:rsid w:val="00BB5AD1"/>
    <w:rsid w:val="00BB71DF"/>
    <w:rsid w:val="00BC51BE"/>
    <w:rsid w:val="00BD1169"/>
    <w:rsid w:val="00BD553F"/>
    <w:rsid w:val="00BD7975"/>
    <w:rsid w:val="00BE0601"/>
    <w:rsid w:val="00BE74B1"/>
    <w:rsid w:val="00BF2F82"/>
    <w:rsid w:val="00BF411F"/>
    <w:rsid w:val="00BF5E92"/>
    <w:rsid w:val="00BF7046"/>
    <w:rsid w:val="00C03610"/>
    <w:rsid w:val="00C04919"/>
    <w:rsid w:val="00C075D1"/>
    <w:rsid w:val="00C2127A"/>
    <w:rsid w:val="00C23D4B"/>
    <w:rsid w:val="00C3207D"/>
    <w:rsid w:val="00C32F20"/>
    <w:rsid w:val="00C34B90"/>
    <w:rsid w:val="00C376B4"/>
    <w:rsid w:val="00C41739"/>
    <w:rsid w:val="00C51A85"/>
    <w:rsid w:val="00C529FD"/>
    <w:rsid w:val="00C55413"/>
    <w:rsid w:val="00C55BBD"/>
    <w:rsid w:val="00C6199B"/>
    <w:rsid w:val="00C62A00"/>
    <w:rsid w:val="00C651A5"/>
    <w:rsid w:val="00C70331"/>
    <w:rsid w:val="00C7481F"/>
    <w:rsid w:val="00C82A6B"/>
    <w:rsid w:val="00C91FBA"/>
    <w:rsid w:val="00C92BE9"/>
    <w:rsid w:val="00C94381"/>
    <w:rsid w:val="00C97B88"/>
    <w:rsid w:val="00CA1E2E"/>
    <w:rsid w:val="00CA309B"/>
    <w:rsid w:val="00CA3CF8"/>
    <w:rsid w:val="00CC0E0D"/>
    <w:rsid w:val="00CC0E3E"/>
    <w:rsid w:val="00CC2AF5"/>
    <w:rsid w:val="00CC3CB5"/>
    <w:rsid w:val="00CC6166"/>
    <w:rsid w:val="00CE2C4E"/>
    <w:rsid w:val="00CE2E0B"/>
    <w:rsid w:val="00CE596F"/>
    <w:rsid w:val="00CE5E3E"/>
    <w:rsid w:val="00CE66E4"/>
    <w:rsid w:val="00CF4624"/>
    <w:rsid w:val="00D0473F"/>
    <w:rsid w:val="00D06340"/>
    <w:rsid w:val="00D17141"/>
    <w:rsid w:val="00D172FA"/>
    <w:rsid w:val="00D27FAA"/>
    <w:rsid w:val="00D322BC"/>
    <w:rsid w:val="00D35847"/>
    <w:rsid w:val="00D35F3D"/>
    <w:rsid w:val="00D4068C"/>
    <w:rsid w:val="00D46B42"/>
    <w:rsid w:val="00D50856"/>
    <w:rsid w:val="00D52F94"/>
    <w:rsid w:val="00D65298"/>
    <w:rsid w:val="00D656DA"/>
    <w:rsid w:val="00D706A2"/>
    <w:rsid w:val="00D71489"/>
    <w:rsid w:val="00D7321E"/>
    <w:rsid w:val="00D744FB"/>
    <w:rsid w:val="00D757B2"/>
    <w:rsid w:val="00D7718E"/>
    <w:rsid w:val="00D86D58"/>
    <w:rsid w:val="00DA1806"/>
    <w:rsid w:val="00DB05C9"/>
    <w:rsid w:val="00DB26A8"/>
    <w:rsid w:val="00DB4A17"/>
    <w:rsid w:val="00DB7F02"/>
    <w:rsid w:val="00DC1FA9"/>
    <w:rsid w:val="00DD0D55"/>
    <w:rsid w:val="00DD423D"/>
    <w:rsid w:val="00DD6CA9"/>
    <w:rsid w:val="00DF1700"/>
    <w:rsid w:val="00DF4A75"/>
    <w:rsid w:val="00DF5EDB"/>
    <w:rsid w:val="00E0030F"/>
    <w:rsid w:val="00E0114C"/>
    <w:rsid w:val="00E05E3E"/>
    <w:rsid w:val="00E10CAB"/>
    <w:rsid w:val="00E12A3E"/>
    <w:rsid w:val="00E14B61"/>
    <w:rsid w:val="00E16313"/>
    <w:rsid w:val="00E1740E"/>
    <w:rsid w:val="00E22034"/>
    <w:rsid w:val="00E23055"/>
    <w:rsid w:val="00E3132F"/>
    <w:rsid w:val="00E453A2"/>
    <w:rsid w:val="00E45517"/>
    <w:rsid w:val="00E461EC"/>
    <w:rsid w:val="00E50C0D"/>
    <w:rsid w:val="00E53AE4"/>
    <w:rsid w:val="00E54D23"/>
    <w:rsid w:val="00E62918"/>
    <w:rsid w:val="00E71060"/>
    <w:rsid w:val="00E803D7"/>
    <w:rsid w:val="00E80954"/>
    <w:rsid w:val="00E80C1F"/>
    <w:rsid w:val="00E835B5"/>
    <w:rsid w:val="00E86182"/>
    <w:rsid w:val="00E9452C"/>
    <w:rsid w:val="00E97BA8"/>
    <w:rsid w:val="00EA3336"/>
    <w:rsid w:val="00EA4517"/>
    <w:rsid w:val="00EA60A7"/>
    <w:rsid w:val="00EA66D6"/>
    <w:rsid w:val="00EB1EE1"/>
    <w:rsid w:val="00EB7790"/>
    <w:rsid w:val="00EC2197"/>
    <w:rsid w:val="00EC22D7"/>
    <w:rsid w:val="00EC7ACA"/>
    <w:rsid w:val="00ED5B57"/>
    <w:rsid w:val="00EE487E"/>
    <w:rsid w:val="00EF3BA4"/>
    <w:rsid w:val="00EF3BB2"/>
    <w:rsid w:val="00EF52B5"/>
    <w:rsid w:val="00F0090B"/>
    <w:rsid w:val="00F0606D"/>
    <w:rsid w:val="00F073BE"/>
    <w:rsid w:val="00F14CB3"/>
    <w:rsid w:val="00F170DA"/>
    <w:rsid w:val="00F20C9A"/>
    <w:rsid w:val="00F22DF4"/>
    <w:rsid w:val="00F3026B"/>
    <w:rsid w:val="00F36A6E"/>
    <w:rsid w:val="00F44510"/>
    <w:rsid w:val="00F4761F"/>
    <w:rsid w:val="00F5066C"/>
    <w:rsid w:val="00F535FD"/>
    <w:rsid w:val="00F56CDC"/>
    <w:rsid w:val="00F624CF"/>
    <w:rsid w:val="00F679A1"/>
    <w:rsid w:val="00F82572"/>
    <w:rsid w:val="00F864EE"/>
    <w:rsid w:val="00FB4469"/>
    <w:rsid w:val="00FB4698"/>
    <w:rsid w:val="00FB4A7F"/>
    <w:rsid w:val="00FD39F3"/>
    <w:rsid w:val="00FD4E5F"/>
    <w:rsid w:val="00FD7FBE"/>
    <w:rsid w:val="00FE40F1"/>
    <w:rsid w:val="00FE52BF"/>
    <w:rsid w:val="00FF2E0A"/>
    <w:rsid w:val="00FF4188"/>
    <w:rsid w:val="00FF60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4F3FF2A-D402-41F7-9093-D29B35C0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pt-B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E3D"/>
  </w:style>
  <w:style w:type="paragraph" w:styleId="Ttulo1">
    <w:name w:val="heading 1"/>
    <w:basedOn w:val="Normal"/>
    <w:next w:val="Normal"/>
    <w:link w:val="Ttulo1Char"/>
    <w:uiPriority w:val="9"/>
    <w:qFormat/>
    <w:rsid w:val="00B07C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0414DF"/>
    <w:pPr>
      <w:keepNext/>
      <w:keepLines/>
      <w:spacing w:before="200"/>
      <w:jc w:val="left"/>
      <w:outlineLvl w:val="1"/>
    </w:pPr>
    <w:rPr>
      <w:rFonts w:eastAsiaTheme="majorEastAsia" w:cstheme="majorBidi"/>
      <w:b/>
      <w:bCs/>
      <w:color w:val="000000" w:themeColor="text1"/>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7C8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0414DF"/>
    <w:rPr>
      <w:rFonts w:ascii="Arial" w:eastAsiaTheme="majorEastAsia" w:hAnsi="Arial" w:cstheme="majorBidi"/>
      <w:b/>
      <w:bCs/>
      <w:color w:val="000000" w:themeColor="text1"/>
      <w:szCs w:val="26"/>
      <w:lang w:val="en-US"/>
    </w:rPr>
  </w:style>
  <w:style w:type="character" w:styleId="Nmerodelinha">
    <w:name w:val="line number"/>
    <w:basedOn w:val="Fontepargpadro"/>
    <w:uiPriority w:val="99"/>
    <w:semiHidden/>
    <w:unhideWhenUsed/>
    <w:rsid w:val="005F5FEB"/>
  </w:style>
  <w:style w:type="paragraph" w:styleId="Cabealho">
    <w:name w:val="header"/>
    <w:basedOn w:val="Normal"/>
    <w:link w:val="CabealhoChar"/>
    <w:uiPriority w:val="99"/>
    <w:unhideWhenUsed/>
    <w:rsid w:val="005F5FEB"/>
    <w:pPr>
      <w:tabs>
        <w:tab w:val="center" w:pos="4252"/>
        <w:tab w:val="right" w:pos="8504"/>
      </w:tabs>
      <w:spacing w:line="240" w:lineRule="auto"/>
    </w:pPr>
  </w:style>
  <w:style w:type="character" w:customStyle="1" w:styleId="CabealhoChar">
    <w:name w:val="Cabeçalho Char"/>
    <w:basedOn w:val="Fontepargpadro"/>
    <w:link w:val="Cabealho"/>
    <w:uiPriority w:val="99"/>
    <w:rsid w:val="005F5FEB"/>
  </w:style>
  <w:style w:type="paragraph" w:styleId="Rodap">
    <w:name w:val="footer"/>
    <w:basedOn w:val="Normal"/>
    <w:link w:val="RodapChar"/>
    <w:uiPriority w:val="99"/>
    <w:unhideWhenUsed/>
    <w:rsid w:val="005F5FEB"/>
    <w:pPr>
      <w:tabs>
        <w:tab w:val="center" w:pos="4252"/>
        <w:tab w:val="right" w:pos="8504"/>
      </w:tabs>
      <w:spacing w:line="240" w:lineRule="auto"/>
    </w:pPr>
  </w:style>
  <w:style w:type="character" w:customStyle="1" w:styleId="RodapChar">
    <w:name w:val="Rodapé Char"/>
    <w:basedOn w:val="Fontepargpadro"/>
    <w:link w:val="Rodap"/>
    <w:uiPriority w:val="99"/>
    <w:rsid w:val="005F5FEB"/>
  </w:style>
  <w:style w:type="character" w:styleId="Hyperlink">
    <w:name w:val="Hyperlink"/>
    <w:basedOn w:val="Fontepargpadro"/>
    <w:uiPriority w:val="99"/>
    <w:unhideWhenUsed/>
    <w:rsid w:val="00AA1EDC"/>
    <w:rPr>
      <w:color w:val="0000FF" w:themeColor="hyperlink"/>
      <w:u w:val="single"/>
    </w:rPr>
  </w:style>
  <w:style w:type="paragraph" w:styleId="Textodebalo">
    <w:name w:val="Balloon Text"/>
    <w:basedOn w:val="Normal"/>
    <w:link w:val="TextodebaloChar"/>
    <w:uiPriority w:val="99"/>
    <w:semiHidden/>
    <w:unhideWhenUsed/>
    <w:rsid w:val="001E108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108A"/>
    <w:rPr>
      <w:rFonts w:ascii="Tahoma" w:hAnsi="Tahoma" w:cs="Tahoma"/>
      <w:sz w:val="16"/>
      <w:szCs w:val="16"/>
    </w:rPr>
  </w:style>
  <w:style w:type="paragraph" w:styleId="SemEspaamento">
    <w:name w:val="No Spacing"/>
    <w:uiPriority w:val="1"/>
    <w:qFormat/>
    <w:rsid w:val="001E108A"/>
    <w:pPr>
      <w:spacing w:line="240" w:lineRule="auto"/>
    </w:pPr>
  </w:style>
  <w:style w:type="character" w:customStyle="1" w:styleId="TextodecomentrioChar">
    <w:name w:val="Texto de comentário Char"/>
    <w:basedOn w:val="Fontepargpadro"/>
    <w:link w:val="Textodecomentrio"/>
    <w:uiPriority w:val="99"/>
    <w:semiHidden/>
    <w:rsid w:val="00B07C8A"/>
    <w:rPr>
      <w:sz w:val="20"/>
      <w:szCs w:val="20"/>
    </w:rPr>
  </w:style>
  <w:style w:type="paragraph" w:styleId="Textodecomentrio">
    <w:name w:val="annotation text"/>
    <w:basedOn w:val="Normal"/>
    <w:link w:val="TextodecomentrioChar"/>
    <w:uiPriority w:val="99"/>
    <w:semiHidden/>
    <w:unhideWhenUsed/>
    <w:rsid w:val="00B07C8A"/>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B07C8A"/>
    <w:rPr>
      <w:b/>
      <w:bCs/>
      <w:sz w:val="20"/>
      <w:szCs w:val="20"/>
    </w:rPr>
  </w:style>
  <w:style w:type="paragraph" w:styleId="Assuntodocomentrio">
    <w:name w:val="annotation subject"/>
    <w:basedOn w:val="Textodecomentrio"/>
    <w:next w:val="Textodecomentrio"/>
    <w:link w:val="AssuntodocomentrioChar"/>
    <w:uiPriority w:val="99"/>
    <w:semiHidden/>
    <w:unhideWhenUsed/>
    <w:rsid w:val="00B07C8A"/>
    <w:rPr>
      <w:b/>
      <w:bCs/>
    </w:rPr>
  </w:style>
  <w:style w:type="character" w:customStyle="1" w:styleId="hps">
    <w:name w:val="hps"/>
    <w:basedOn w:val="Fontepargpadro"/>
    <w:rsid w:val="00B07C8A"/>
  </w:style>
  <w:style w:type="character" w:styleId="Refdecomentrio">
    <w:name w:val="annotation reference"/>
    <w:basedOn w:val="Fontepargpadro"/>
    <w:uiPriority w:val="99"/>
    <w:semiHidden/>
    <w:unhideWhenUsed/>
    <w:rsid w:val="008F5FB8"/>
    <w:rPr>
      <w:sz w:val="16"/>
      <w:szCs w:val="16"/>
    </w:rPr>
  </w:style>
  <w:style w:type="paragraph" w:styleId="Textodenotadefim">
    <w:name w:val="endnote text"/>
    <w:basedOn w:val="Normal"/>
    <w:link w:val="TextodenotadefimChar"/>
    <w:uiPriority w:val="99"/>
    <w:semiHidden/>
    <w:unhideWhenUsed/>
    <w:rsid w:val="000368A3"/>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368A3"/>
    <w:rPr>
      <w:sz w:val="20"/>
      <w:szCs w:val="20"/>
    </w:rPr>
  </w:style>
  <w:style w:type="character" w:styleId="Refdenotadefim">
    <w:name w:val="endnote reference"/>
    <w:basedOn w:val="Fontepargpadro"/>
    <w:uiPriority w:val="99"/>
    <w:semiHidden/>
    <w:unhideWhenUsed/>
    <w:rsid w:val="000368A3"/>
    <w:rPr>
      <w:vertAlign w:val="superscript"/>
    </w:rPr>
  </w:style>
  <w:style w:type="paragraph" w:styleId="Textodenotaderodap">
    <w:name w:val="footnote text"/>
    <w:basedOn w:val="Normal"/>
    <w:link w:val="TextodenotaderodapChar"/>
    <w:uiPriority w:val="99"/>
    <w:semiHidden/>
    <w:unhideWhenUsed/>
    <w:rsid w:val="000368A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368A3"/>
    <w:rPr>
      <w:sz w:val="20"/>
      <w:szCs w:val="20"/>
    </w:rPr>
  </w:style>
  <w:style w:type="character" w:styleId="Refdenotaderodap">
    <w:name w:val="footnote reference"/>
    <w:basedOn w:val="Fontepargpadro"/>
    <w:uiPriority w:val="99"/>
    <w:semiHidden/>
    <w:unhideWhenUsed/>
    <w:rsid w:val="00036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65722">
      <w:bodyDiv w:val="1"/>
      <w:marLeft w:val="0"/>
      <w:marRight w:val="0"/>
      <w:marTop w:val="0"/>
      <w:marBottom w:val="0"/>
      <w:divBdr>
        <w:top w:val="none" w:sz="0" w:space="0" w:color="auto"/>
        <w:left w:val="none" w:sz="0" w:space="0" w:color="auto"/>
        <w:bottom w:val="none" w:sz="0" w:space="0" w:color="auto"/>
        <w:right w:val="none" w:sz="0" w:space="0" w:color="auto"/>
      </w:divBdr>
    </w:div>
    <w:div w:id="9279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CANAUSSU\Desktop\CANA\Gr&#225;fico%20cana%20mo&#237;d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NAUSSU\Desktop\CANA\VALORES%20PARA%20C&#193;LCU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29094974239372"/>
          <c:y val="3.2362300167025009E-2"/>
          <c:w val="0.81607373152430063"/>
          <c:h val="0.73255725387267767"/>
        </c:manualLayout>
      </c:layout>
      <c:barChart>
        <c:barDir val="col"/>
        <c:grouping val="clustered"/>
        <c:varyColors val="0"/>
        <c:ser>
          <c:idx val="0"/>
          <c:order val="0"/>
          <c:tx>
            <c:v>Arrendamento</c:v>
          </c:tx>
          <c:spPr>
            <a:ln>
              <a:solidFill>
                <a:prstClr val="black"/>
              </a:solidFill>
            </a:ln>
          </c:spPr>
          <c:invertIfNegative val="0"/>
          <c:cat>
            <c:numRef>
              <c:f>'Plan 2'!$A$2:$A$8</c:f>
              <c:numCache>
                <c:formatCode>General</c:formatCode>
                <c:ptCount val="7"/>
                <c:pt idx="0">
                  <c:v>2007</c:v>
                </c:pt>
                <c:pt idx="1">
                  <c:v>2008</c:v>
                </c:pt>
                <c:pt idx="2">
                  <c:v>2009</c:v>
                </c:pt>
                <c:pt idx="3">
                  <c:v>2010</c:v>
                </c:pt>
                <c:pt idx="4">
                  <c:v>2011</c:v>
                </c:pt>
                <c:pt idx="5">
                  <c:v>2012</c:v>
                </c:pt>
                <c:pt idx="6">
                  <c:v>2013</c:v>
                </c:pt>
              </c:numCache>
            </c:numRef>
          </c:cat>
          <c:val>
            <c:numRef>
              <c:f>'Plan 2'!$B$2:$B$8</c:f>
              <c:numCache>
                <c:formatCode>0.00</c:formatCode>
                <c:ptCount val="7"/>
                <c:pt idx="0">
                  <c:v>2.17</c:v>
                </c:pt>
                <c:pt idx="1">
                  <c:v>1.6900000000000241</c:v>
                </c:pt>
                <c:pt idx="2">
                  <c:v>4.6599999999999975</c:v>
                </c:pt>
                <c:pt idx="3">
                  <c:v>5.83</c:v>
                </c:pt>
                <c:pt idx="4">
                  <c:v>7.25</c:v>
                </c:pt>
                <c:pt idx="5">
                  <c:v>6.59</c:v>
                </c:pt>
                <c:pt idx="6">
                  <c:v>7.6199999999999966</c:v>
                </c:pt>
              </c:numCache>
            </c:numRef>
          </c:val>
        </c:ser>
        <c:ser>
          <c:idx val="1"/>
          <c:order val="1"/>
          <c:tx>
            <c:v>Produção</c:v>
          </c:tx>
          <c:spPr>
            <a:solidFill>
              <a:schemeClr val="accent1"/>
            </a:solidFill>
            <a:ln>
              <a:solidFill>
                <a:schemeClr val="tx1"/>
              </a:solidFill>
            </a:ln>
          </c:spPr>
          <c:invertIfNegative val="0"/>
          <c:cat>
            <c:numRef>
              <c:f>'Plan 2'!$A$2:$A$8</c:f>
              <c:numCache>
                <c:formatCode>General</c:formatCode>
                <c:ptCount val="7"/>
                <c:pt idx="0">
                  <c:v>2007</c:v>
                </c:pt>
                <c:pt idx="1">
                  <c:v>2008</c:v>
                </c:pt>
                <c:pt idx="2">
                  <c:v>2009</c:v>
                </c:pt>
                <c:pt idx="3">
                  <c:v>2010</c:v>
                </c:pt>
                <c:pt idx="4">
                  <c:v>2011</c:v>
                </c:pt>
                <c:pt idx="5">
                  <c:v>2012</c:v>
                </c:pt>
                <c:pt idx="6">
                  <c:v>2013</c:v>
                </c:pt>
              </c:numCache>
            </c:numRef>
          </c:cat>
          <c:val>
            <c:numRef>
              <c:f>'Plan 2'!$C$2:$C$8</c:f>
              <c:numCache>
                <c:formatCode>0.00</c:formatCode>
                <c:ptCount val="7"/>
                <c:pt idx="0">
                  <c:v>1.7300000000000104</c:v>
                </c:pt>
                <c:pt idx="1">
                  <c:v>-1.3</c:v>
                </c:pt>
                <c:pt idx="2">
                  <c:v>-3.67</c:v>
                </c:pt>
                <c:pt idx="3">
                  <c:v>1.41</c:v>
                </c:pt>
                <c:pt idx="4">
                  <c:v>7.3</c:v>
                </c:pt>
                <c:pt idx="5">
                  <c:v>2.4</c:v>
                </c:pt>
                <c:pt idx="6">
                  <c:v>1.27</c:v>
                </c:pt>
              </c:numCache>
            </c:numRef>
          </c:val>
        </c:ser>
        <c:dLbls>
          <c:showLegendKey val="0"/>
          <c:showVal val="0"/>
          <c:showCatName val="0"/>
          <c:showSerName val="0"/>
          <c:showPercent val="0"/>
          <c:showBubbleSize val="0"/>
        </c:dLbls>
        <c:gapWidth val="150"/>
        <c:axId val="331050432"/>
        <c:axId val="331052608"/>
      </c:barChart>
      <c:catAx>
        <c:axId val="331050432"/>
        <c:scaling>
          <c:orientation val="minMax"/>
        </c:scaling>
        <c:delete val="0"/>
        <c:axPos val="b"/>
        <c:numFmt formatCode="General" sourceLinked="1"/>
        <c:majorTickMark val="out"/>
        <c:minorTickMark val="none"/>
        <c:tickLblPos val="low"/>
        <c:spPr>
          <a:ln w="12700">
            <a:solidFill>
              <a:sysClr val="windowText" lastClr="000000"/>
            </a:solidFill>
          </a:ln>
        </c:spPr>
        <c:txPr>
          <a:bodyPr/>
          <a:lstStyle/>
          <a:p>
            <a:pPr>
              <a:defRPr sz="1100" baseline="0">
                <a:latin typeface="Arial" pitchFamily="34" charset="0"/>
              </a:defRPr>
            </a:pPr>
            <a:endParaRPr lang="pt-BR"/>
          </a:p>
        </c:txPr>
        <c:crossAx val="331052608"/>
        <c:crosses val="autoZero"/>
        <c:auto val="1"/>
        <c:lblAlgn val="ctr"/>
        <c:lblOffset val="100"/>
        <c:noMultiLvlLbl val="0"/>
      </c:catAx>
      <c:valAx>
        <c:axId val="331052608"/>
        <c:scaling>
          <c:orientation val="minMax"/>
          <c:max val="8"/>
          <c:min val="-4"/>
        </c:scaling>
        <c:delete val="0"/>
        <c:axPos val="l"/>
        <c:majorGridlines>
          <c:spPr>
            <a:ln>
              <a:solidFill>
                <a:prstClr val="black"/>
              </a:solidFill>
              <a:prstDash val="sysDash"/>
            </a:ln>
          </c:spPr>
        </c:majorGridlines>
        <c:title>
          <c:tx>
            <c:rich>
              <a:bodyPr rot="-5400000" vert="horz"/>
              <a:lstStyle/>
              <a:p>
                <a:pPr>
                  <a:defRPr/>
                </a:pPr>
                <a:r>
                  <a:rPr lang="pt-BR" sz="1100" b="0">
                    <a:latin typeface="Arial" pitchFamily="34" charset="0"/>
                    <a:cs typeface="Arial" pitchFamily="34" charset="0"/>
                  </a:rPr>
                  <a:t>Rentabilidade</a:t>
                </a:r>
                <a:r>
                  <a:rPr lang="pt-BR" sz="1100" b="0" baseline="0">
                    <a:latin typeface="Arial" pitchFamily="34" charset="0"/>
                    <a:cs typeface="Arial" pitchFamily="34" charset="0"/>
                  </a:rPr>
                  <a:t> (%)</a:t>
                </a:r>
                <a:endParaRPr lang="pt-BR" sz="1100" b="0">
                  <a:latin typeface="Arial" pitchFamily="34" charset="0"/>
                  <a:cs typeface="Arial" pitchFamily="34" charset="0"/>
                </a:endParaRPr>
              </a:p>
            </c:rich>
          </c:tx>
          <c:overlay val="0"/>
        </c:title>
        <c:numFmt formatCode="0.0" sourceLinked="0"/>
        <c:majorTickMark val="out"/>
        <c:minorTickMark val="none"/>
        <c:tickLblPos val="nextTo"/>
        <c:spPr>
          <a:ln w="6350">
            <a:solidFill>
              <a:sysClr val="windowText" lastClr="000000"/>
            </a:solidFill>
          </a:ln>
        </c:spPr>
        <c:txPr>
          <a:bodyPr/>
          <a:lstStyle/>
          <a:p>
            <a:pPr>
              <a:defRPr sz="1100" baseline="0">
                <a:latin typeface="Arial" pitchFamily="34" charset="0"/>
              </a:defRPr>
            </a:pPr>
            <a:endParaRPr lang="pt-BR"/>
          </a:p>
        </c:txPr>
        <c:crossAx val="331050432"/>
        <c:crosses val="autoZero"/>
        <c:crossBetween val="between"/>
      </c:valAx>
      <c:spPr>
        <a:noFill/>
      </c:spPr>
    </c:plotArea>
    <c:legend>
      <c:legendPos val="r"/>
      <c:legendEntry>
        <c:idx val="0"/>
        <c:txPr>
          <a:bodyPr/>
          <a:lstStyle/>
          <a:p>
            <a:pPr>
              <a:defRPr sz="1100">
                <a:latin typeface="Arial" pitchFamily="34" charset="0"/>
                <a:cs typeface="Arial" pitchFamily="34" charset="0"/>
              </a:defRPr>
            </a:pPr>
            <a:endParaRPr lang="pt-BR"/>
          </a:p>
        </c:txPr>
      </c:legendEntry>
      <c:legendEntry>
        <c:idx val="1"/>
        <c:txPr>
          <a:bodyPr/>
          <a:lstStyle/>
          <a:p>
            <a:pPr>
              <a:defRPr sz="1100">
                <a:latin typeface="Arial" pitchFamily="34" charset="0"/>
                <a:cs typeface="Arial" pitchFamily="34" charset="0"/>
              </a:defRPr>
            </a:pPr>
            <a:endParaRPr lang="pt-BR"/>
          </a:p>
        </c:txPr>
      </c:legendEntry>
      <c:layout>
        <c:manualLayout>
          <c:xMode val="edge"/>
          <c:yMode val="edge"/>
          <c:x val="0.28935859104570039"/>
          <c:y val="0.82787617649490064"/>
          <c:w val="0.34009975339186249"/>
          <c:h val="0.1292790948048384"/>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6636287003547"/>
          <c:y val="4.2602276172294284E-2"/>
          <c:w val="0.82377675616634882"/>
          <c:h val="0.84783206469638761"/>
        </c:manualLayout>
      </c:layout>
      <c:lineChart>
        <c:grouping val="standard"/>
        <c:varyColors val="0"/>
        <c:ser>
          <c:idx val="0"/>
          <c:order val="0"/>
          <c:tx>
            <c:strRef>
              <c:f>'GRAFICO SPOT'!$B$1</c:f>
              <c:strCache>
                <c:ptCount val="1"/>
                <c:pt idx="0">
                  <c:v>Fornecimento - "Spot"</c:v>
                </c:pt>
              </c:strCache>
            </c:strRef>
          </c:tx>
          <c:marker>
            <c:symbol val="diamond"/>
            <c:size val="9"/>
            <c:spPr>
              <a:ln>
                <a:solidFill>
                  <a:prstClr val="black"/>
                </a:solidFill>
              </a:ln>
            </c:spPr>
          </c:marker>
          <c:dLbls>
            <c:dLbl>
              <c:idx val="3"/>
              <c:layout>
                <c:manualLayout>
                  <c:x val="-9.258281325012005E-2"/>
                  <c:y val="-6.555671175858481E-2"/>
                </c:manualLayout>
              </c:layout>
              <c:dLblPos val="r"/>
              <c:showLegendKey val="0"/>
              <c:showVal val="0"/>
              <c:showCatName val="1"/>
              <c:showSerName val="0"/>
              <c:showPercent val="0"/>
              <c:showBubbleSize val="0"/>
              <c:extLst>
                <c:ext xmlns:c15="http://schemas.microsoft.com/office/drawing/2012/chart" uri="{CE6537A1-D6FC-4f65-9D91-7224C49458BB}"/>
              </c:extLst>
            </c:dLbl>
            <c:dLbl>
              <c:idx val="4"/>
              <c:layout>
                <c:manualLayout>
                  <c:x val="-4.8457138969006712E-2"/>
                  <c:y val="-4.5725007579047419E-2"/>
                </c:manualLayout>
              </c:layout>
              <c:dLblPos val="r"/>
              <c:showLegendKey val="0"/>
              <c:showVal val="0"/>
              <c:showCatName val="1"/>
              <c:showSerName val="0"/>
              <c:showPercent val="0"/>
              <c:showBubbleSize val="0"/>
              <c:extLst>
                <c:ext xmlns:c15="http://schemas.microsoft.com/office/drawing/2012/chart" uri="{CE6537A1-D6FC-4f65-9D91-7224C49458BB}"/>
              </c:extLst>
            </c:dLbl>
            <c:spPr>
              <a:noFill/>
              <a:ln>
                <a:noFill/>
              </a:ln>
              <a:effectLst/>
            </c:spPr>
            <c:dLblPos val="t"/>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cat>
            <c:strRef>
              <c:f>'GRAFICO SPOT'!$A$2:$A$6</c:f>
              <c:strCache>
                <c:ptCount val="5"/>
                <c:pt idx="0">
                  <c:v>R$ 38,00/t</c:v>
                </c:pt>
                <c:pt idx="1">
                  <c:v>R$ 39,00/t</c:v>
                </c:pt>
                <c:pt idx="2">
                  <c:v>R$ 42,00/t</c:v>
                </c:pt>
                <c:pt idx="3">
                  <c:v>R$ 46,00/t</c:v>
                </c:pt>
                <c:pt idx="4">
                  <c:v>R$ 50,00/t</c:v>
                </c:pt>
              </c:strCache>
            </c:strRef>
          </c:cat>
          <c:val>
            <c:numRef>
              <c:f>'GRAFICO SPOT'!$B$2:$B$6</c:f>
              <c:numCache>
                <c:formatCode>#,##0.00_);[Red]\(#,##0.00\)</c:formatCode>
                <c:ptCount val="5"/>
                <c:pt idx="0">
                  <c:v>-18438.371055413038</c:v>
                </c:pt>
                <c:pt idx="1">
                  <c:v>13485.781545849799</c:v>
                </c:pt>
                <c:pt idx="2">
                  <c:v>109258.23934963718</c:v>
                </c:pt>
                <c:pt idx="3">
                  <c:v>236954.84975468786</c:v>
                </c:pt>
                <c:pt idx="4">
                  <c:v>364651.46015973756</c:v>
                </c:pt>
              </c:numCache>
            </c:numRef>
          </c:val>
          <c:smooth val="0"/>
        </c:ser>
        <c:ser>
          <c:idx val="2"/>
          <c:order val="1"/>
          <c:tx>
            <c:strRef>
              <c:f>'GRAFICO SPOT'!$E$1</c:f>
              <c:strCache>
                <c:ptCount val="1"/>
                <c:pt idx="0">
                  <c:v>Fornecimento - "esteira"</c:v>
                </c:pt>
              </c:strCache>
            </c:strRef>
          </c:tx>
          <c:marker>
            <c:symbol val="triangle"/>
            <c:size val="8"/>
            <c:spPr>
              <a:ln w="9525" cmpd="sng">
                <a:solidFill>
                  <a:schemeClr val="tx1"/>
                </a:solidFill>
                <a:headEnd type="triangle"/>
              </a:ln>
            </c:spPr>
          </c:marker>
          <c:dLbls>
            <c:dLbl>
              <c:idx val="0"/>
              <c:tx>
                <c:rich>
                  <a:bodyPr/>
                  <a:lstStyle/>
                  <a:p>
                    <a:r>
                      <a:rPr lang="en-US" sz="900" baseline="0">
                        <a:latin typeface="Arial" pitchFamily="34" charset="0"/>
                      </a:rPr>
                      <a:t>R</a:t>
                    </a:r>
                    <a:r>
                      <a:rPr lang="en-US"/>
                      <a:t>$ 61,95</a:t>
                    </a:r>
                    <a:r>
                      <a:rPr lang="en-US" baseline="0"/>
                      <a:t> /t</a:t>
                    </a:r>
                    <a:endParaRPr lang="en-US"/>
                  </a:p>
                </c:rich>
              </c:tx>
              <c:dLblPos val="b"/>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900" baseline="0">
                        <a:latin typeface="Arial" pitchFamily="34" charset="0"/>
                      </a:rPr>
                      <a:t>R</a:t>
                    </a:r>
                    <a:r>
                      <a:rPr lang="en-US"/>
                      <a:t>$ 64,99 /t</a:t>
                    </a:r>
                  </a:p>
                </c:rich>
              </c:tx>
              <c:dLblPos val="b"/>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900" baseline="0">
                        <a:latin typeface="Arial" pitchFamily="34" charset="0"/>
                      </a:rPr>
                      <a:t>R</a:t>
                    </a:r>
                    <a:r>
                      <a:rPr lang="en-US"/>
                      <a:t>$ 68,31/t</a:t>
                    </a:r>
                  </a:p>
                </c:rich>
              </c:tx>
              <c:dLblPos val="b"/>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900" baseline="0">
                        <a:latin typeface="Arial" pitchFamily="34" charset="0"/>
                      </a:rPr>
                      <a:t> </a:t>
                    </a:r>
                    <a:r>
                      <a:rPr lang="en-US"/>
                      <a:t>R$ 71,79/t </a:t>
                    </a:r>
                  </a:p>
                </c:rich>
              </c:tx>
              <c:dLblPos val="b"/>
              <c:showLegendKey val="0"/>
              <c:showVal val="1"/>
              <c:showCatName val="0"/>
              <c:showSerName val="0"/>
              <c:showPercent val="0"/>
              <c:showBubbleSize val="0"/>
              <c:extLst>
                <c:ext xmlns:c15="http://schemas.microsoft.com/office/drawing/2012/chart" uri="{CE6537A1-D6FC-4f65-9D91-7224C49458BB}"/>
              </c:extLst>
            </c:dLbl>
            <c:dLbl>
              <c:idx val="4"/>
              <c:layout>
                <c:manualLayout>
                  <c:x val="-3.8267981144699689E-2"/>
                  <c:y val="6.3704310634427733E-2"/>
                </c:manualLayout>
              </c:layout>
              <c:tx>
                <c:rich>
                  <a:bodyPr/>
                  <a:lstStyle/>
                  <a:p>
                    <a:r>
                      <a:rPr lang="en-US" sz="900" baseline="0">
                        <a:latin typeface="Arial" pitchFamily="34" charset="0"/>
                      </a:rPr>
                      <a:t>R</a:t>
                    </a:r>
                    <a:r>
                      <a:rPr lang="en-US"/>
                      <a:t>$ 72,93</a:t>
                    </a:r>
                    <a:r>
                      <a:rPr lang="en-US" baseline="0"/>
                      <a:t> /t</a:t>
                    </a:r>
                    <a:endParaRPr lang="en-US"/>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'GRAFICO SPOT'!$D$2:$D$5</c:f>
              <c:numCache>
                <c:formatCode>_("R$"* #,##0.00_);_("R$"* \(#,##0.00\);_("R$"* "-"??_);_(@_)</c:formatCode>
                <c:ptCount val="4"/>
                <c:pt idx="0">
                  <c:v>61.949999999999996</c:v>
                </c:pt>
                <c:pt idx="1">
                  <c:v>64.989999999999995</c:v>
                </c:pt>
                <c:pt idx="2">
                  <c:v>68.31</c:v>
                </c:pt>
                <c:pt idx="3">
                  <c:v>71.790000000000006</c:v>
                </c:pt>
              </c:numCache>
            </c:numRef>
          </c:cat>
          <c:val>
            <c:numRef>
              <c:f>'GRAFICO SPOT'!$E$2:$E$6</c:f>
              <c:numCache>
                <c:formatCode>_(* #,##0.00_);_(* \(#,##0.00\);_(* "-"??_);_(@_)</c:formatCode>
                <c:ptCount val="5"/>
                <c:pt idx="0">
                  <c:v>-310264.23575285322</c:v>
                </c:pt>
                <c:pt idx="1">
                  <c:v>-213137.49154741448</c:v>
                </c:pt>
                <c:pt idx="2">
                  <c:v>-107149.30491122231</c:v>
                </c:pt>
                <c:pt idx="3">
                  <c:v>4010.5944463736378</c:v>
                </c:pt>
                <c:pt idx="4" formatCode="#,##0.00_);[Red]\(#,##0.00\)">
                  <c:v>40340.280106610575</c:v>
                </c:pt>
              </c:numCache>
            </c:numRef>
          </c:val>
          <c:smooth val="0"/>
        </c:ser>
        <c:ser>
          <c:idx val="1"/>
          <c:order val="2"/>
          <c:tx>
            <c:strRef>
              <c:f>'GRAFICO SPOT'!$H$1</c:f>
              <c:strCache>
                <c:ptCount val="1"/>
                <c:pt idx="0">
                  <c:v>Arrendamento</c:v>
                </c:pt>
              </c:strCache>
            </c:strRef>
          </c:tx>
          <c:marker>
            <c:symbol val="square"/>
            <c:size val="8"/>
            <c:spPr>
              <a:ln>
                <a:solidFill>
                  <a:prstClr val="black"/>
                </a:solidFill>
              </a:ln>
            </c:spPr>
          </c:marker>
          <c:dLbls>
            <c:dLbl>
              <c:idx val="0"/>
              <c:tx>
                <c:rich>
                  <a:bodyPr/>
                  <a:lstStyle/>
                  <a:p>
                    <a:r>
                      <a:rPr lang="en-US" sz="1000" baseline="0">
                        <a:latin typeface="Arial" pitchFamily="34" charset="0"/>
                      </a:rPr>
                      <a:t>15</a:t>
                    </a:r>
                    <a:r>
                      <a:rPr lang="en-US" sz="1000"/>
                      <a:t>,70 </a:t>
                    </a:r>
                    <a:r>
                      <a:rPr lang="en-US" sz="1000" b="0" i="0" u="none" strike="noStrike" kern="1200" baseline="0">
                        <a:solidFill>
                          <a:sysClr val="windowText" lastClr="000000"/>
                        </a:solidFill>
                        <a:latin typeface="Arial" panose="020B0604020202020204" pitchFamily="34" charset="0"/>
                        <a:cs typeface="Arial" panose="020B0604020202020204" pitchFamily="34" charset="0"/>
                      </a:rPr>
                      <a:t>t ha</a:t>
                    </a:r>
                    <a:r>
                      <a:rPr lang="en-US" sz="1000" b="0" i="0" u="none" strike="noStrike" kern="1200" baseline="30000">
                        <a:solidFill>
                          <a:sysClr val="windowText" lastClr="000000"/>
                        </a:solidFill>
                        <a:latin typeface="Arial" panose="020B0604020202020204" pitchFamily="34" charset="0"/>
                        <a:cs typeface="Arial" panose="020B0604020202020204" pitchFamily="34" charset="0"/>
                      </a:rPr>
                      <a:t>-1</a:t>
                    </a:r>
                    <a:endParaRPr lang="en-US" sz="1000"/>
                  </a:p>
                </c:rich>
              </c:tx>
              <c:dLblPos val="b"/>
              <c:showLegendKey val="0"/>
              <c:showVal val="0"/>
              <c:showCatName val="1"/>
              <c:showSerName val="0"/>
              <c:showPercent val="0"/>
              <c:showBubbleSize val="0"/>
              <c:extLst>
                <c:ext xmlns:c15="http://schemas.microsoft.com/office/drawing/2012/chart" uri="{CE6537A1-D6FC-4f65-9D91-7224C49458BB}"/>
              </c:extLst>
            </c:dLbl>
            <c:dLbl>
              <c:idx val="1"/>
              <c:tx>
                <c:rich>
                  <a:bodyPr/>
                  <a:lstStyle/>
                  <a:p>
                    <a:r>
                      <a:rPr lang="en-US" sz="1000" baseline="0">
                        <a:latin typeface="Arial" pitchFamily="34" charset="0"/>
                      </a:rPr>
                      <a:t>1</a:t>
                    </a:r>
                    <a:r>
                      <a:rPr lang="en-US" sz="1000"/>
                      <a:t>7,40</a:t>
                    </a:r>
                    <a:r>
                      <a:rPr lang="en-US" sz="1000" baseline="0"/>
                      <a:t> </a:t>
                    </a:r>
                    <a:r>
                      <a:rPr lang="en-US" sz="1000"/>
                      <a:t>t ha</a:t>
                    </a:r>
                    <a:r>
                      <a:rPr lang="en-US" sz="1000" baseline="30000"/>
                      <a:t>-1</a:t>
                    </a:r>
                  </a:p>
                </c:rich>
              </c:tx>
              <c:dLblPos val="b"/>
              <c:showLegendKey val="0"/>
              <c:showVal val="0"/>
              <c:showCatName val="1"/>
              <c:showSerName val="0"/>
              <c:showPercent val="0"/>
              <c:showBubbleSize val="0"/>
              <c:extLst>
                <c:ext xmlns:c15="http://schemas.microsoft.com/office/drawing/2012/chart" uri="{CE6537A1-D6FC-4f65-9D91-7224C49458BB}"/>
              </c:extLst>
            </c:dLbl>
            <c:dLbl>
              <c:idx val="2"/>
              <c:layout>
                <c:manualLayout>
                  <c:x val="-9.6015362457995246E-2"/>
                  <c:y val="4.5785639958378165E-2"/>
                </c:manualLayout>
              </c:layout>
              <c:tx>
                <c:rich>
                  <a:bodyPr/>
                  <a:lstStyle/>
                  <a:p>
                    <a:r>
                      <a:rPr lang="en-US" sz="1000" baseline="0">
                        <a:latin typeface="Arial" pitchFamily="34" charset="0"/>
                      </a:rPr>
                      <a:t> 1</a:t>
                    </a:r>
                    <a:r>
                      <a:rPr lang="en-US" sz="1000"/>
                      <a:t>8,70</a:t>
                    </a:r>
                    <a:r>
                      <a:rPr lang="en-US" sz="1000" baseline="0"/>
                      <a:t> </a:t>
                    </a:r>
                    <a:r>
                      <a:rPr lang="en-US" sz="1000" b="0" i="0" u="none" strike="noStrike" kern="1200" baseline="0">
                        <a:solidFill>
                          <a:sysClr val="windowText" lastClr="000000"/>
                        </a:solidFill>
                        <a:latin typeface="Arial" panose="020B0604020202020204" pitchFamily="34" charset="0"/>
                        <a:cs typeface="Arial" panose="020B0604020202020204" pitchFamily="34" charset="0"/>
                      </a:rPr>
                      <a:t>t ha</a:t>
                    </a:r>
                    <a:r>
                      <a:rPr lang="en-US" sz="1000" b="0" i="0" u="none" strike="noStrike" kern="1200" baseline="30000">
                        <a:solidFill>
                          <a:sysClr val="windowText" lastClr="000000"/>
                        </a:solidFill>
                        <a:latin typeface="Arial" panose="020B0604020202020204" pitchFamily="34" charset="0"/>
                        <a:cs typeface="Arial" panose="020B0604020202020204" pitchFamily="34" charset="0"/>
                      </a:rPr>
                      <a:t>-1</a:t>
                    </a:r>
                    <a:endParaRPr lang="en-US" sz="1000"/>
                  </a:p>
                </c:rich>
              </c:tx>
              <c:dLblPos val="r"/>
              <c:showLegendKey val="0"/>
              <c:showVal val="0"/>
              <c:showCatName val="1"/>
              <c:showSerName val="0"/>
              <c:showPercent val="0"/>
              <c:showBubbleSize val="0"/>
              <c:extLst>
                <c:ext xmlns:c15="http://schemas.microsoft.com/office/drawing/2012/chart" uri="{CE6537A1-D6FC-4f65-9D91-7224C49458BB}"/>
              </c:extLst>
            </c:dLbl>
            <c:dLbl>
              <c:idx val="3"/>
              <c:layout>
                <c:manualLayout>
                  <c:x val="-8.773498247908855E-2"/>
                  <c:y val="-5.5266577629929502E-2"/>
                </c:manualLayout>
              </c:layout>
              <c:tx>
                <c:rich>
                  <a:bodyPr/>
                  <a:lstStyle/>
                  <a:p>
                    <a:r>
                      <a:rPr lang="en-US" sz="1000" baseline="0">
                        <a:latin typeface="Arial" pitchFamily="34" charset="0"/>
                      </a:rPr>
                      <a:t> 2</a:t>
                    </a:r>
                    <a:r>
                      <a:rPr lang="en-US" sz="1000"/>
                      <a:t>0,66</a:t>
                    </a:r>
                    <a:r>
                      <a:rPr lang="en-US" sz="1000" baseline="0"/>
                      <a:t> </a:t>
                    </a:r>
                    <a:r>
                      <a:rPr lang="en-US" sz="1000" b="0" i="0" u="none" strike="noStrike" kern="1200" baseline="0">
                        <a:solidFill>
                          <a:sysClr val="windowText" lastClr="000000"/>
                        </a:solidFill>
                        <a:latin typeface="Arial" panose="020B0604020202020204" pitchFamily="34" charset="0"/>
                        <a:cs typeface="Arial" panose="020B0604020202020204" pitchFamily="34" charset="0"/>
                      </a:rPr>
                      <a:t>t ha</a:t>
                    </a:r>
                    <a:r>
                      <a:rPr lang="en-US" sz="1000" b="0" i="0" u="none" strike="noStrike" kern="1200" baseline="30000">
                        <a:solidFill>
                          <a:sysClr val="windowText" lastClr="000000"/>
                        </a:solidFill>
                        <a:latin typeface="Arial" panose="020B0604020202020204" pitchFamily="34" charset="0"/>
                        <a:cs typeface="Arial" panose="020B0604020202020204" pitchFamily="34" charset="0"/>
                      </a:rPr>
                      <a:t>-1</a:t>
                    </a:r>
                    <a:endParaRPr lang="en-US" sz="1000"/>
                  </a:p>
                </c:rich>
              </c:tx>
              <c:dLblPos val="r"/>
              <c:showLegendKey val="0"/>
              <c:showVal val="0"/>
              <c:showCatName val="1"/>
              <c:showSerName val="0"/>
              <c:showPercent val="0"/>
              <c:showBubbleSize val="0"/>
              <c:extLst>
                <c:ext xmlns:c15="http://schemas.microsoft.com/office/drawing/2012/chart" uri="{CE6537A1-D6FC-4f65-9D91-7224C49458BB}"/>
              </c:extLst>
            </c:dLbl>
            <c:dLbl>
              <c:idx val="4"/>
              <c:layout>
                <c:manualLayout>
                  <c:x val="-4.2490767026662032E-2"/>
                  <c:y val="-5.0642915537197263E-2"/>
                </c:manualLayout>
              </c:layout>
              <c:tx>
                <c:rich>
                  <a:bodyPr/>
                  <a:lstStyle/>
                  <a:p>
                    <a:r>
                      <a:rPr lang="en-US" sz="1000" baseline="0">
                        <a:latin typeface="Arial" pitchFamily="34" charset="0"/>
                      </a:rPr>
                      <a:t>2</a:t>
                    </a:r>
                    <a:r>
                      <a:rPr lang="en-US" sz="1000"/>
                      <a:t>2,73</a:t>
                    </a:r>
                    <a:r>
                      <a:rPr lang="en-US" sz="1000" baseline="0"/>
                      <a:t> </a:t>
                    </a:r>
                    <a:r>
                      <a:rPr lang="en-US" sz="1000" b="0" i="0" u="none" strike="noStrike" kern="1200" baseline="0">
                        <a:solidFill>
                          <a:sysClr val="windowText" lastClr="000000"/>
                        </a:solidFill>
                        <a:latin typeface="Arial" panose="020B0604020202020204" pitchFamily="34" charset="0"/>
                        <a:cs typeface="Arial" panose="020B0604020202020204" pitchFamily="34" charset="0"/>
                      </a:rPr>
                      <a:t>t ha</a:t>
                    </a:r>
                    <a:r>
                      <a:rPr lang="en-US" sz="1000" b="0" i="0" u="none" strike="noStrike" kern="1200" baseline="30000">
                        <a:solidFill>
                          <a:sysClr val="windowText" lastClr="000000"/>
                        </a:solidFill>
                        <a:latin typeface="Arial" panose="020B0604020202020204" pitchFamily="34" charset="0"/>
                        <a:cs typeface="Arial" panose="020B0604020202020204" pitchFamily="34" charset="0"/>
                      </a:rPr>
                      <a:t>-1</a:t>
                    </a:r>
                    <a:endParaRPr lang="en-US" sz="1000"/>
                  </a:p>
                </c:rich>
              </c:tx>
              <c:dLblPos val="r"/>
              <c:showLegendKey val="0"/>
              <c:showVal val="0"/>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1000"/>
                </a:pPr>
                <a:endParaRPr lang="pt-BR"/>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cat>
            <c:strRef>
              <c:f>'GRAFICO SPOT'!$A$2:$A$6</c:f>
              <c:strCache>
                <c:ptCount val="5"/>
                <c:pt idx="0">
                  <c:v>R$ 38,00/t</c:v>
                </c:pt>
                <c:pt idx="1">
                  <c:v>R$ 39,00/t</c:v>
                </c:pt>
                <c:pt idx="2">
                  <c:v>R$ 42,00/t</c:v>
                </c:pt>
                <c:pt idx="3">
                  <c:v>R$ 46,00/t</c:v>
                </c:pt>
                <c:pt idx="4">
                  <c:v>R$ 50,00/t</c:v>
                </c:pt>
              </c:strCache>
            </c:strRef>
          </c:cat>
          <c:val>
            <c:numRef>
              <c:f>'GRAFICO SPOT'!$H$2:$H$6</c:f>
              <c:numCache>
                <c:formatCode>_(* #,##0.00_);_(* \(#,##0.00\);_(* "-"??_);_(@_)</c:formatCode>
                <c:ptCount val="5"/>
                <c:pt idx="0">
                  <c:v>-54076.646316395243</c:v>
                </c:pt>
                <c:pt idx="1">
                  <c:v>-20392.560876240488</c:v>
                </c:pt>
                <c:pt idx="2">
                  <c:v>5365.8574015246704</c:v>
                </c:pt>
                <c:pt idx="3">
                  <c:v>44201.626497230376</c:v>
                </c:pt>
                <c:pt idx="4">
                  <c:v>85162.915422851424</c:v>
                </c:pt>
              </c:numCache>
            </c:numRef>
          </c:val>
          <c:smooth val="0"/>
        </c:ser>
        <c:dLbls>
          <c:showLegendKey val="0"/>
          <c:showVal val="0"/>
          <c:showCatName val="0"/>
          <c:showSerName val="0"/>
          <c:showPercent val="0"/>
          <c:showBubbleSize val="0"/>
        </c:dLbls>
        <c:marker val="1"/>
        <c:smooth val="0"/>
        <c:axId val="225020688"/>
        <c:axId val="225016880"/>
      </c:lineChart>
      <c:catAx>
        <c:axId val="225020688"/>
        <c:scaling>
          <c:orientation val="minMax"/>
        </c:scaling>
        <c:delete val="0"/>
        <c:axPos val="b"/>
        <c:numFmt formatCode="General" sourceLinked="1"/>
        <c:majorTickMark val="none"/>
        <c:minorTickMark val="none"/>
        <c:tickLblPos val="none"/>
        <c:spPr>
          <a:ln>
            <a:solidFill>
              <a:prstClr val="black"/>
            </a:solidFill>
          </a:ln>
        </c:spPr>
        <c:crossAx val="225016880"/>
        <c:crosses val="autoZero"/>
        <c:auto val="0"/>
        <c:lblAlgn val="ctr"/>
        <c:lblOffset val="450"/>
        <c:tickLblSkip val="1"/>
        <c:noMultiLvlLbl val="0"/>
      </c:catAx>
      <c:valAx>
        <c:axId val="225016880"/>
        <c:scaling>
          <c:orientation val="minMax"/>
        </c:scaling>
        <c:delete val="0"/>
        <c:axPos val="l"/>
        <c:title>
          <c:tx>
            <c:rich>
              <a:bodyPr rot="-5400000" vert="horz"/>
              <a:lstStyle/>
              <a:p>
                <a:pPr>
                  <a:defRPr/>
                </a:pPr>
                <a:r>
                  <a:rPr lang="en-US"/>
                  <a:t>Valor PResente Líquido - VPL (R$)</a:t>
                </a:r>
              </a:p>
            </c:rich>
          </c:tx>
          <c:layout>
            <c:manualLayout>
              <c:xMode val="edge"/>
              <c:yMode val="edge"/>
              <c:x val="2.4003840614498337E-3"/>
              <c:y val="0.25908838398321982"/>
            </c:manualLayout>
          </c:layout>
          <c:overlay val="0"/>
        </c:title>
        <c:numFmt formatCode="#,##0" sourceLinked="0"/>
        <c:majorTickMark val="out"/>
        <c:minorTickMark val="none"/>
        <c:tickLblPos val="nextTo"/>
        <c:spPr>
          <a:ln w="9525">
            <a:solidFill>
              <a:prstClr val="black"/>
            </a:solidFill>
          </a:ln>
        </c:spPr>
        <c:crossAx val="225020688"/>
        <c:crosses val="autoZero"/>
        <c:crossBetween val="between"/>
        <c:majorUnit val="100000"/>
        <c:minorUnit val="20000"/>
      </c:valAx>
      <c:spPr>
        <a:noFill/>
        <a:ln>
          <a:solidFill>
            <a:srgbClr val="4F81BD">
              <a:alpha val="0"/>
            </a:srgbClr>
          </a:solidFill>
        </a:ln>
      </c:spPr>
    </c:plotArea>
    <c:legend>
      <c:legendPos val="b"/>
      <c:layout>
        <c:manualLayout>
          <c:xMode val="edge"/>
          <c:yMode val="edge"/>
          <c:x val="0.112409985597694"/>
          <c:y val="0.92481486640392663"/>
          <c:w val="0.88559769563130097"/>
          <c:h val="7.1022802690766676E-2"/>
        </c:manualLayout>
      </c:layou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54B0-AE0F-4E8C-AABE-A9AED5FD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6651</Words>
  <Characters>35917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CANAUSSU</dc:creator>
  <cp:lastModifiedBy>Windows8</cp:lastModifiedBy>
  <cp:revision>8</cp:revision>
  <cp:lastPrinted>2014-09-18T13:37:00Z</cp:lastPrinted>
  <dcterms:created xsi:type="dcterms:W3CDTF">2016-06-02T13:40:00Z</dcterms:created>
  <dcterms:modified xsi:type="dcterms:W3CDTF">2016-06-06T08:06:00Z</dcterms:modified>
</cp:coreProperties>
</file>